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CF46FB" w14:textId="5F18D039" w:rsidR="00631DDD" w:rsidRPr="00631DDD" w:rsidRDefault="00631DDD" w:rsidP="009B4ECE">
      <w:pPr>
        <w:spacing w:after="0" w:line="240" w:lineRule="auto"/>
        <w:rPr>
          <w:rFonts w:ascii="Times New Roman" w:eastAsia="Times New Roman" w:hAnsi="Times New Roman" w:cs="Times New Roman"/>
          <w:spacing w:val="-1"/>
          <w:sz w:val="24"/>
          <w:szCs w:val="24"/>
          <w:bdr w:val="none" w:sz="0" w:space="0" w:color="auto" w:frame="1"/>
        </w:rPr>
      </w:pPr>
      <w:bookmarkStart w:id="0" w:name="_GoBack"/>
      <w:bookmarkEnd w:id="0"/>
      <w:r w:rsidRPr="00631DDD">
        <w:rPr>
          <w:rFonts w:ascii="Times New Roman" w:eastAsia="Times New Roman" w:hAnsi="Times New Roman" w:cs="Times New Roman"/>
          <w:spacing w:val="-1"/>
          <w:sz w:val="24"/>
          <w:szCs w:val="24"/>
          <w:bdr w:val="none" w:sz="0" w:space="0" w:color="auto" w:frame="1"/>
        </w:rPr>
        <w:t xml:space="preserve">Sebouh Kouyoumjian </w:t>
      </w:r>
    </w:p>
    <w:p w14:paraId="3106708E" w14:textId="78E027B2" w:rsidR="00631DDD" w:rsidRDefault="00631DDD" w:rsidP="009B4ECE">
      <w:pPr>
        <w:spacing w:after="0" w:line="240" w:lineRule="auto"/>
        <w:rPr>
          <w:rFonts w:ascii="Times New Roman" w:eastAsia="Times New Roman" w:hAnsi="Times New Roman" w:cs="Times New Roman"/>
          <w:spacing w:val="-1"/>
          <w:sz w:val="24"/>
          <w:szCs w:val="24"/>
          <w:bdr w:val="none" w:sz="0" w:space="0" w:color="auto" w:frame="1"/>
        </w:rPr>
      </w:pPr>
      <w:r w:rsidRPr="00631DDD">
        <w:rPr>
          <w:rFonts w:ascii="Times New Roman" w:eastAsia="Times New Roman" w:hAnsi="Times New Roman" w:cs="Times New Roman"/>
          <w:spacing w:val="-1"/>
          <w:sz w:val="24"/>
          <w:szCs w:val="24"/>
          <w:bdr w:val="none" w:sz="0" w:space="0" w:color="auto" w:frame="1"/>
        </w:rPr>
        <w:t>September 23, 2014</w:t>
      </w:r>
    </w:p>
    <w:p w14:paraId="4A5FC62F" w14:textId="5742CFEA" w:rsidR="00631DDD" w:rsidRPr="00631DDD" w:rsidRDefault="00631DDD" w:rsidP="009B4ECE">
      <w:pPr>
        <w:spacing w:after="0" w:line="240" w:lineRule="auto"/>
        <w:rPr>
          <w:rFonts w:ascii="Times New Roman" w:eastAsia="Times New Roman" w:hAnsi="Times New Roman" w:cs="Times New Roman"/>
          <w:spacing w:val="-1"/>
          <w:sz w:val="24"/>
          <w:szCs w:val="24"/>
          <w:bdr w:val="none" w:sz="0" w:space="0" w:color="auto" w:frame="1"/>
        </w:rPr>
      </w:pPr>
      <w:r>
        <w:rPr>
          <w:rFonts w:ascii="Times New Roman" w:eastAsia="Times New Roman" w:hAnsi="Times New Roman" w:cs="Times New Roman"/>
          <w:spacing w:val="-1"/>
          <w:sz w:val="24"/>
          <w:szCs w:val="24"/>
          <w:bdr w:val="none" w:sz="0" w:space="0" w:color="auto" w:frame="1"/>
        </w:rPr>
        <w:t>PA-611</w:t>
      </w:r>
    </w:p>
    <w:p w14:paraId="6DE2CE04" w14:textId="77777777" w:rsidR="00631DDD" w:rsidRDefault="00631DDD" w:rsidP="009B4ECE">
      <w:pPr>
        <w:spacing w:after="0" w:line="240" w:lineRule="auto"/>
        <w:rPr>
          <w:rFonts w:ascii="Times New Roman" w:eastAsia="Times New Roman" w:hAnsi="Times New Roman" w:cs="Times New Roman"/>
          <w:b/>
          <w:spacing w:val="-1"/>
          <w:sz w:val="24"/>
          <w:szCs w:val="24"/>
          <w:bdr w:val="none" w:sz="0" w:space="0" w:color="auto" w:frame="1"/>
        </w:rPr>
      </w:pPr>
    </w:p>
    <w:p w14:paraId="414025D4" w14:textId="303EAE7C" w:rsidR="009B4ECE" w:rsidRDefault="009B4ECE" w:rsidP="009B4ECE">
      <w:pPr>
        <w:spacing w:after="0" w:line="240" w:lineRule="auto"/>
        <w:rPr>
          <w:rFonts w:ascii="Times New Roman" w:eastAsia="Times New Roman" w:hAnsi="Times New Roman" w:cs="Times New Roman"/>
          <w:sz w:val="24"/>
          <w:szCs w:val="24"/>
          <w:bdr w:val="none" w:sz="0" w:space="0" w:color="auto" w:frame="1"/>
        </w:rPr>
      </w:pPr>
      <w:r w:rsidRPr="00351ABF">
        <w:rPr>
          <w:rFonts w:ascii="Times New Roman" w:eastAsia="Times New Roman" w:hAnsi="Times New Roman" w:cs="Times New Roman"/>
          <w:b/>
          <w:spacing w:val="-1"/>
          <w:sz w:val="24"/>
          <w:szCs w:val="24"/>
          <w:bdr w:val="none" w:sz="0" w:space="0" w:color="auto" w:frame="1"/>
        </w:rPr>
        <w:t xml:space="preserve">Demographic Change and </w:t>
      </w:r>
      <w:proofErr w:type="gramStart"/>
      <w:r w:rsidRPr="00351ABF">
        <w:rPr>
          <w:rFonts w:ascii="Times New Roman" w:eastAsia="Times New Roman" w:hAnsi="Times New Roman" w:cs="Times New Roman"/>
          <w:b/>
          <w:spacing w:val="-1"/>
          <w:sz w:val="24"/>
          <w:szCs w:val="24"/>
          <w:bdr w:val="none" w:sz="0" w:space="0" w:color="auto" w:frame="1"/>
        </w:rPr>
        <w:t>Diversity</w:t>
      </w:r>
      <w:r w:rsidRPr="009B4ECE">
        <w:rPr>
          <w:rFonts w:ascii="Times New Roman" w:eastAsia="Times New Roman" w:hAnsi="Times New Roman" w:cs="Times New Roman"/>
          <w:sz w:val="24"/>
          <w:szCs w:val="24"/>
          <w:bdr w:val="none" w:sz="0" w:space="0" w:color="auto" w:frame="1"/>
        </w:rPr>
        <w:t>  –</w:t>
      </w:r>
      <w:proofErr w:type="gramEnd"/>
      <w:r w:rsidRPr="009B4ECE">
        <w:rPr>
          <w:rFonts w:ascii="Times New Roman" w:eastAsia="Times New Roman" w:hAnsi="Times New Roman" w:cs="Times New Roman"/>
          <w:sz w:val="24"/>
          <w:szCs w:val="24"/>
          <w:bdr w:val="none" w:sz="0" w:space="0" w:color="auto" w:frame="1"/>
        </w:rPr>
        <w:t> Current and projected changes in population on the basis of age, race, ethnic origin, gender, education, urbanization, or other factors</w:t>
      </w:r>
    </w:p>
    <w:p w14:paraId="54F80C08" w14:textId="77777777" w:rsidR="009B4ECE" w:rsidRDefault="009B4ECE" w:rsidP="009B4ECE">
      <w:pPr>
        <w:spacing w:after="0" w:line="240" w:lineRule="auto"/>
        <w:rPr>
          <w:rFonts w:ascii="Times New Roman" w:eastAsia="Times New Roman" w:hAnsi="Times New Roman" w:cs="Times New Roman"/>
          <w:sz w:val="24"/>
          <w:szCs w:val="24"/>
          <w:bdr w:val="none" w:sz="0" w:space="0" w:color="auto" w:frame="1"/>
        </w:rPr>
      </w:pPr>
      <w:r w:rsidRPr="009B4ECE">
        <w:rPr>
          <w:rFonts w:ascii="Times New Roman" w:eastAsia="Times New Roman" w:hAnsi="Times New Roman" w:cs="Times New Roman"/>
          <w:sz w:val="24"/>
          <w:szCs w:val="24"/>
          <w:bdr w:val="none" w:sz="0" w:space="0" w:color="auto" w:frame="1"/>
        </w:rPr>
        <w:t xml:space="preserve">. </w:t>
      </w:r>
    </w:p>
    <w:p w14:paraId="4AF27CD3" w14:textId="7073A86E" w:rsidR="009B4ECE" w:rsidRPr="00631DDD" w:rsidRDefault="009B4ECE" w:rsidP="00631DDD">
      <w:pPr>
        <w:pStyle w:val="ListParagraph"/>
        <w:numPr>
          <w:ilvl w:val="0"/>
          <w:numId w:val="2"/>
        </w:numPr>
        <w:spacing w:after="0" w:line="240" w:lineRule="auto"/>
        <w:rPr>
          <w:rFonts w:ascii="Times New Roman" w:eastAsia="Times New Roman" w:hAnsi="Times New Roman" w:cs="Times New Roman"/>
          <w:sz w:val="24"/>
          <w:szCs w:val="24"/>
          <w:bdr w:val="none" w:sz="0" w:space="0" w:color="auto" w:frame="1"/>
        </w:rPr>
      </w:pPr>
      <w:r w:rsidRPr="00631DDD">
        <w:rPr>
          <w:rFonts w:ascii="Times New Roman" w:eastAsia="Times New Roman" w:hAnsi="Times New Roman" w:cs="Times New Roman"/>
          <w:sz w:val="24"/>
          <w:szCs w:val="24"/>
          <w:bdr w:val="none" w:sz="0" w:space="0" w:color="auto" w:frame="1"/>
        </w:rPr>
        <w:t xml:space="preserve">How are demographic changes influencing public sector agencies, programs and budgets? </w:t>
      </w:r>
    </w:p>
    <w:p w14:paraId="53AB9666" w14:textId="77777777" w:rsidR="009B4ECE" w:rsidRDefault="009B4ECE" w:rsidP="009B4ECE">
      <w:pPr>
        <w:spacing w:after="0" w:line="240" w:lineRule="auto"/>
        <w:rPr>
          <w:rFonts w:ascii="Times New Roman" w:eastAsia="Times New Roman" w:hAnsi="Times New Roman" w:cs="Times New Roman"/>
          <w:sz w:val="24"/>
          <w:szCs w:val="24"/>
          <w:bdr w:val="none" w:sz="0" w:space="0" w:color="auto" w:frame="1"/>
        </w:rPr>
      </w:pPr>
    </w:p>
    <w:p w14:paraId="6C0F75AB" w14:textId="4C7E2E9E" w:rsidR="009B4ECE" w:rsidRPr="00631DDD" w:rsidRDefault="009B4ECE" w:rsidP="009B4ECE">
      <w:pPr>
        <w:pStyle w:val="ListParagraph"/>
        <w:numPr>
          <w:ilvl w:val="0"/>
          <w:numId w:val="2"/>
        </w:numPr>
        <w:spacing w:after="0" w:line="240" w:lineRule="auto"/>
        <w:rPr>
          <w:rFonts w:ascii="Times New Roman" w:eastAsia="Times New Roman" w:hAnsi="Times New Roman" w:cs="Times New Roman"/>
          <w:sz w:val="24"/>
          <w:szCs w:val="24"/>
        </w:rPr>
      </w:pPr>
      <w:r w:rsidRPr="00631DDD">
        <w:rPr>
          <w:rFonts w:ascii="Times New Roman" w:eastAsia="Times New Roman" w:hAnsi="Times New Roman" w:cs="Times New Roman"/>
          <w:sz w:val="24"/>
          <w:szCs w:val="24"/>
          <w:bdr w:val="none" w:sz="0" w:space="0" w:color="auto" w:frame="1"/>
        </w:rPr>
        <w:t>How closely does (or should) the diversity of public sector employees reflect the diversity of the population served by that government? (representative bureaucracy)</w:t>
      </w:r>
    </w:p>
    <w:p w14:paraId="28222286" w14:textId="77777777" w:rsidR="009B4ECE" w:rsidRDefault="009B4ECE" w:rsidP="009B4ECE">
      <w:pPr>
        <w:spacing w:after="0" w:line="240" w:lineRule="auto"/>
        <w:rPr>
          <w:rFonts w:ascii="Times New Roman" w:eastAsia="Times New Roman" w:hAnsi="Times New Roman" w:cs="Times New Roman"/>
          <w:sz w:val="24"/>
          <w:szCs w:val="24"/>
          <w:bdr w:val="none" w:sz="0" w:space="0" w:color="auto" w:frame="1"/>
        </w:rPr>
      </w:pPr>
    </w:p>
    <w:p w14:paraId="40933CD5" w14:textId="7F76A477" w:rsidR="009B4ECE" w:rsidRPr="00631DDD" w:rsidRDefault="009B4ECE" w:rsidP="00631DDD">
      <w:pPr>
        <w:pStyle w:val="ListParagraph"/>
        <w:numPr>
          <w:ilvl w:val="0"/>
          <w:numId w:val="4"/>
        </w:numPr>
        <w:spacing w:after="0" w:line="240" w:lineRule="auto"/>
        <w:rPr>
          <w:rFonts w:ascii="Times New Roman" w:eastAsia="Times New Roman" w:hAnsi="Times New Roman" w:cs="Times New Roman"/>
          <w:sz w:val="24"/>
          <w:szCs w:val="24"/>
          <w:bdr w:val="none" w:sz="0" w:space="0" w:color="auto" w:frame="1"/>
        </w:rPr>
      </w:pPr>
      <w:r w:rsidRPr="00631DDD">
        <w:rPr>
          <w:rFonts w:ascii="Times New Roman" w:eastAsia="Times New Roman" w:hAnsi="Times New Roman" w:cs="Times New Roman"/>
          <w:sz w:val="24"/>
          <w:szCs w:val="24"/>
          <w:bdr w:val="none" w:sz="0" w:space="0" w:color="auto" w:frame="1"/>
        </w:rPr>
        <w:t xml:space="preserve">In what ways do current public practices systematically disadvantage certain demographics? How can this be remedied? (education, prisons, access to services) </w:t>
      </w:r>
    </w:p>
    <w:p w14:paraId="6B917C29" w14:textId="77777777" w:rsidR="005812F1" w:rsidRDefault="005812F1" w:rsidP="009B4ECE">
      <w:pPr>
        <w:spacing w:after="0" w:line="240" w:lineRule="auto"/>
        <w:rPr>
          <w:rFonts w:ascii="Times New Roman" w:eastAsia="Times New Roman" w:hAnsi="Times New Roman" w:cs="Times New Roman"/>
          <w:sz w:val="24"/>
          <w:szCs w:val="24"/>
          <w:bdr w:val="none" w:sz="0" w:space="0" w:color="auto" w:frame="1"/>
        </w:rPr>
      </w:pPr>
    </w:p>
    <w:p w14:paraId="036BB14F" w14:textId="353303D2" w:rsidR="00683CC8" w:rsidRDefault="00683CC8" w:rsidP="009B4ECE">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Bibliography </w:t>
      </w:r>
    </w:p>
    <w:p w14:paraId="01265ABF" w14:textId="77777777" w:rsidR="00683CC8" w:rsidRDefault="00683CC8" w:rsidP="009B4ECE">
      <w:pPr>
        <w:spacing w:after="0" w:line="240" w:lineRule="auto"/>
        <w:rPr>
          <w:rFonts w:ascii="Times New Roman" w:hAnsi="Times New Roman" w:cs="Times New Roman"/>
          <w:b/>
          <w:sz w:val="24"/>
          <w:szCs w:val="24"/>
        </w:rPr>
      </w:pPr>
    </w:p>
    <w:p w14:paraId="4755275B" w14:textId="77777777" w:rsidR="005812F1" w:rsidRPr="00F06AA9" w:rsidRDefault="005812F1" w:rsidP="009B4ECE">
      <w:pPr>
        <w:spacing w:after="0" w:line="240" w:lineRule="auto"/>
        <w:rPr>
          <w:rFonts w:ascii="Times New Roman" w:hAnsi="Times New Roman" w:cs="Times New Roman"/>
          <w:b/>
          <w:sz w:val="24"/>
          <w:szCs w:val="24"/>
        </w:rPr>
      </w:pPr>
      <w:r w:rsidRPr="00F06AA9">
        <w:rPr>
          <w:rFonts w:ascii="Times New Roman" w:hAnsi="Times New Roman" w:cs="Times New Roman"/>
          <w:b/>
          <w:sz w:val="24"/>
          <w:szCs w:val="24"/>
        </w:rPr>
        <w:t xml:space="preserve">Choi, </w:t>
      </w:r>
      <w:proofErr w:type="spellStart"/>
      <w:r w:rsidRPr="00F06AA9">
        <w:rPr>
          <w:rFonts w:ascii="Times New Roman" w:hAnsi="Times New Roman" w:cs="Times New Roman"/>
          <w:b/>
          <w:sz w:val="24"/>
          <w:szCs w:val="24"/>
        </w:rPr>
        <w:t>Sungjoo</w:t>
      </w:r>
      <w:proofErr w:type="spellEnd"/>
      <w:r w:rsidRPr="00F06AA9">
        <w:rPr>
          <w:rFonts w:ascii="Times New Roman" w:hAnsi="Times New Roman" w:cs="Times New Roman"/>
          <w:b/>
          <w:sz w:val="24"/>
          <w:szCs w:val="24"/>
        </w:rPr>
        <w:t xml:space="preserve"> and Hal G. Rainey. (2010). "Managing Diversity in U.S. Federal Agencies: Effects of Diversity and Diversity Management on Employee Perceptions of Organizational Performance." </w:t>
      </w:r>
      <w:r w:rsidRPr="00F06AA9">
        <w:rPr>
          <w:rFonts w:ascii="Times New Roman" w:hAnsi="Times New Roman" w:cs="Times New Roman"/>
          <w:b/>
          <w:iCs/>
          <w:sz w:val="24"/>
          <w:szCs w:val="24"/>
        </w:rPr>
        <w:t>Public Administration Review</w:t>
      </w:r>
      <w:r w:rsidRPr="00F06AA9">
        <w:rPr>
          <w:rFonts w:ascii="Times New Roman" w:hAnsi="Times New Roman" w:cs="Times New Roman"/>
          <w:b/>
          <w:sz w:val="24"/>
          <w:szCs w:val="24"/>
        </w:rPr>
        <w:t xml:space="preserve"> 70 (1): 109-121. </w:t>
      </w:r>
    </w:p>
    <w:p w14:paraId="5BDFA896" w14:textId="77777777" w:rsidR="00387ACB" w:rsidRDefault="00613077" w:rsidP="00033A58">
      <w:pPr>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highlight w:val="white"/>
        </w:rPr>
        <w:t xml:space="preserve">The growing importance of diversity is vital in any organization's workplace. This article tries tackling this issue by measuring key variables of racial, gender, and age factors that affect employee perceptions on organizational performance. The study included these variables plus the factor of diversity management within federal agencies. The empirical evidence used to measure these variables of diversity  were drawn from the Central Personal Data File (“CPDF”) and the 2004 Federal Human Capital survey, which are both published by the US Office of Personal Management (“OPM”). “The survey measured the levels of diversity from 67 federal agencies...and approximately 150,000 federal employees responded to this survey” (C. </w:t>
      </w:r>
      <w:proofErr w:type="spellStart"/>
      <w:r>
        <w:rPr>
          <w:rFonts w:ascii="Times New Roman" w:hAnsi="Times New Roman" w:cs="Times New Roman"/>
          <w:sz w:val="24"/>
          <w:szCs w:val="24"/>
          <w:highlight w:val="white"/>
        </w:rPr>
        <w:t>Sungjoo</w:t>
      </w:r>
      <w:proofErr w:type="spellEnd"/>
      <w:r>
        <w:rPr>
          <w:rFonts w:ascii="Times New Roman" w:hAnsi="Times New Roman" w:cs="Times New Roman"/>
          <w:sz w:val="24"/>
          <w:szCs w:val="24"/>
          <w:highlight w:val="white"/>
        </w:rPr>
        <w:t>, H.G. Rainey, 2010, pg.110, 112). Even though the results of this article were limited on the effects of diversity with relation to gender and age interactions; racial diversity correlated positively with thi</w:t>
      </w:r>
      <w:r w:rsidR="00AB671B">
        <w:rPr>
          <w:rFonts w:ascii="Times New Roman" w:hAnsi="Times New Roman" w:cs="Times New Roman"/>
          <w:sz w:val="24"/>
          <w:szCs w:val="24"/>
          <w:highlight w:val="white"/>
        </w:rPr>
        <w:t xml:space="preserve">s study. These results revealed </w:t>
      </w:r>
      <w:r>
        <w:rPr>
          <w:rFonts w:ascii="Times New Roman" w:hAnsi="Times New Roman" w:cs="Times New Roman"/>
          <w:sz w:val="24"/>
          <w:szCs w:val="24"/>
          <w:highlight w:val="white"/>
        </w:rPr>
        <w:t>that “racial diversity improved performances in agencies that encouraged team work…and frequent interactions and communications among members.”</w:t>
      </w:r>
      <w:r w:rsidR="00AB671B">
        <w:rPr>
          <w:rFonts w:ascii="Times New Roman" w:hAnsi="Times New Roman" w:cs="Times New Roman"/>
          <w:sz w:val="24"/>
          <w:szCs w:val="24"/>
          <w:highlight w:val="white"/>
        </w:rPr>
        <w:t xml:space="preserve"> </w:t>
      </w:r>
      <w:r>
        <w:rPr>
          <w:rFonts w:ascii="Times New Roman" w:hAnsi="Times New Roman" w:cs="Times New Roman"/>
          <w:sz w:val="24"/>
          <w:szCs w:val="24"/>
          <w:highlight w:val="white"/>
        </w:rPr>
        <w:t xml:space="preserve">(C. </w:t>
      </w:r>
      <w:proofErr w:type="spellStart"/>
      <w:r>
        <w:rPr>
          <w:rFonts w:ascii="Times New Roman" w:hAnsi="Times New Roman" w:cs="Times New Roman"/>
          <w:sz w:val="24"/>
          <w:szCs w:val="24"/>
          <w:highlight w:val="white"/>
        </w:rPr>
        <w:t>Sungjoo</w:t>
      </w:r>
      <w:proofErr w:type="spellEnd"/>
      <w:r>
        <w:rPr>
          <w:rFonts w:ascii="Times New Roman" w:hAnsi="Times New Roman" w:cs="Times New Roman"/>
          <w:sz w:val="24"/>
          <w:szCs w:val="24"/>
          <w:highlight w:val="white"/>
        </w:rPr>
        <w:t xml:space="preserve">, H.G. Rainey, 2010, pg. 117). This approach to involve racially diverse team work by federal agencies increased productivity regarding organizational performance, in contrast to agencies that didn’t encourage this diverse team work and lacked productivity.  There was also one positive effect of age diversity in this article that revealed a correlation with performance productivity that reduced conflict and competition among employees.  </w:t>
      </w:r>
    </w:p>
    <w:p w14:paraId="2E53689F" w14:textId="77777777" w:rsidR="00387ACB" w:rsidRDefault="00387ACB" w:rsidP="00033A58">
      <w:pPr>
        <w:spacing w:after="0" w:line="240" w:lineRule="auto"/>
        <w:rPr>
          <w:rFonts w:ascii="Times New Roman" w:eastAsia="Times New Roman" w:hAnsi="Times New Roman" w:cs="Times New Roman"/>
          <w:sz w:val="24"/>
          <w:szCs w:val="24"/>
        </w:rPr>
      </w:pPr>
    </w:p>
    <w:p w14:paraId="50E16557" w14:textId="77777777" w:rsidR="00387ACB" w:rsidRDefault="00387ACB" w:rsidP="00033A58">
      <w:pPr>
        <w:spacing w:after="0" w:line="240" w:lineRule="auto"/>
        <w:rPr>
          <w:rFonts w:ascii="Times New Roman" w:eastAsia="Times New Roman" w:hAnsi="Times New Roman" w:cs="Times New Roman"/>
          <w:sz w:val="24"/>
          <w:szCs w:val="24"/>
        </w:rPr>
      </w:pPr>
    </w:p>
    <w:p w14:paraId="71F9A2AE" w14:textId="77777777" w:rsidR="00387ACB" w:rsidRDefault="00387ACB" w:rsidP="00033A58">
      <w:pPr>
        <w:spacing w:after="0" w:line="240" w:lineRule="auto"/>
        <w:rPr>
          <w:rFonts w:ascii="Times New Roman" w:eastAsia="Times New Roman" w:hAnsi="Times New Roman" w:cs="Times New Roman"/>
          <w:sz w:val="24"/>
          <w:szCs w:val="24"/>
        </w:rPr>
      </w:pPr>
    </w:p>
    <w:p w14:paraId="10E2D284" w14:textId="77777777" w:rsidR="00033A58" w:rsidRPr="00033A58" w:rsidRDefault="00DA02BA" w:rsidP="00033A58">
      <w:pPr>
        <w:spacing w:after="0" w:line="240" w:lineRule="auto"/>
        <w:rPr>
          <w:rFonts w:ascii="Times New Roman" w:eastAsia="Times New Roman" w:hAnsi="Times New Roman" w:cs="Times New Roman"/>
          <w:b/>
          <w:sz w:val="24"/>
          <w:szCs w:val="24"/>
        </w:rPr>
      </w:pPr>
      <w:hyperlink r:id="rId5" w:tooltip="Edit this item" w:history="1">
        <w:r w:rsidR="00033A58" w:rsidRPr="00F06AA9">
          <w:rPr>
            <w:rFonts w:ascii="Times New Roman" w:eastAsia="Times New Roman" w:hAnsi="Times New Roman" w:cs="Times New Roman"/>
            <w:b/>
            <w:sz w:val="24"/>
            <w:szCs w:val="24"/>
          </w:rPr>
          <w:t xml:space="preserve">Betancourt, Joseph R, Alexander R Green, </w:t>
        </w:r>
        <w:proofErr w:type="spellStart"/>
        <w:r w:rsidR="00033A58" w:rsidRPr="00F06AA9">
          <w:rPr>
            <w:rFonts w:ascii="Times New Roman" w:eastAsia="Times New Roman" w:hAnsi="Times New Roman" w:cs="Times New Roman"/>
            <w:b/>
            <w:sz w:val="24"/>
            <w:szCs w:val="24"/>
          </w:rPr>
          <w:t>J.emilio</w:t>
        </w:r>
        <w:proofErr w:type="spellEnd"/>
        <w:r w:rsidR="00033A58" w:rsidRPr="00F06AA9">
          <w:rPr>
            <w:rFonts w:ascii="Times New Roman" w:eastAsia="Times New Roman" w:hAnsi="Times New Roman" w:cs="Times New Roman"/>
            <w:b/>
            <w:sz w:val="24"/>
            <w:szCs w:val="24"/>
          </w:rPr>
          <w:t xml:space="preserve"> Carrillo, and Owusu </w:t>
        </w:r>
        <w:proofErr w:type="spellStart"/>
        <w:r w:rsidR="00033A58" w:rsidRPr="00F06AA9">
          <w:rPr>
            <w:rFonts w:ascii="Times New Roman" w:eastAsia="Times New Roman" w:hAnsi="Times New Roman" w:cs="Times New Roman"/>
            <w:b/>
            <w:sz w:val="24"/>
            <w:szCs w:val="24"/>
          </w:rPr>
          <w:t>Ananeh-Firempong</w:t>
        </w:r>
        <w:proofErr w:type="spellEnd"/>
        <w:r w:rsidR="00033A58" w:rsidRPr="00F06AA9">
          <w:rPr>
            <w:rFonts w:ascii="Times New Roman" w:eastAsia="Times New Roman" w:hAnsi="Times New Roman" w:cs="Times New Roman"/>
            <w:b/>
            <w:sz w:val="24"/>
            <w:szCs w:val="24"/>
          </w:rPr>
          <w:t>.</w:t>
        </w:r>
        <w:r w:rsidR="00387ACB" w:rsidRPr="00F06AA9">
          <w:rPr>
            <w:b/>
          </w:rPr>
          <w:t xml:space="preserve"> </w:t>
        </w:r>
        <w:r w:rsidR="00387ACB" w:rsidRPr="00F06AA9">
          <w:rPr>
            <w:rFonts w:ascii="Times New Roman" w:eastAsia="Times New Roman" w:hAnsi="Times New Roman" w:cs="Times New Roman"/>
            <w:b/>
            <w:sz w:val="24"/>
            <w:szCs w:val="24"/>
          </w:rPr>
          <w:t>(2003)</w:t>
        </w:r>
        <w:r w:rsidR="00033A58" w:rsidRPr="00F06AA9">
          <w:rPr>
            <w:rFonts w:ascii="Times New Roman" w:eastAsia="Times New Roman" w:hAnsi="Times New Roman" w:cs="Times New Roman"/>
            <w:b/>
            <w:sz w:val="24"/>
            <w:szCs w:val="24"/>
          </w:rPr>
          <w:t xml:space="preserve"> "Defining cultural competence: a practical framework for addressing racial/ethnic disparities in health and health care." </w:t>
        </w:r>
        <w:r w:rsidR="00033A58" w:rsidRPr="00F06AA9">
          <w:rPr>
            <w:rFonts w:ascii="Times New Roman" w:eastAsia="Times New Roman" w:hAnsi="Times New Roman" w:cs="Times New Roman"/>
            <w:b/>
            <w:iCs/>
            <w:sz w:val="24"/>
            <w:szCs w:val="24"/>
          </w:rPr>
          <w:t>Public Health Reports</w:t>
        </w:r>
        <w:r w:rsidR="00387ACB" w:rsidRPr="00F06AA9">
          <w:rPr>
            <w:rFonts w:ascii="Times New Roman" w:eastAsia="Times New Roman" w:hAnsi="Times New Roman" w:cs="Times New Roman"/>
            <w:b/>
            <w:sz w:val="24"/>
            <w:szCs w:val="24"/>
          </w:rPr>
          <w:t xml:space="preserve"> 118 (4)</w:t>
        </w:r>
        <w:r w:rsidR="00033A58" w:rsidRPr="00F06AA9">
          <w:rPr>
            <w:rFonts w:ascii="Times New Roman" w:eastAsia="Times New Roman" w:hAnsi="Times New Roman" w:cs="Times New Roman"/>
            <w:b/>
            <w:sz w:val="24"/>
            <w:szCs w:val="24"/>
          </w:rPr>
          <w:t>: 293-302.</w:t>
        </w:r>
      </w:hyperlink>
      <w:r w:rsidR="00033A58" w:rsidRPr="00033A58">
        <w:rPr>
          <w:rFonts w:ascii="Times New Roman" w:eastAsia="Times New Roman" w:hAnsi="Times New Roman" w:cs="Times New Roman"/>
          <w:b/>
          <w:sz w:val="24"/>
          <w:szCs w:val="24"/>
        </w:rPr>
        <w:t xml:space="preserve"> </w:t>
      </w:r>
    </w:p>
    <w:p w14:paraId="309FB85B" w14:textId="77777777" w:rsidR="00831BB2" w:rsidRDefault="00831BB2" w:rsidP="00831BB2">
      <w:pPr>
        <w:autoSpaceDE w:val="0"/>
        <w:autoSpaceDN w:val="0"/>
        <w:adjustRightInd w:val="0"/>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The subject of health care reform in the United States has always been a challenging issue to solve that entails various bureaucratic complexities. The doctors and medical professionals in this article have conducted studies to tackle these complexities and eliminate racial/ethnic disparities, regarding health issues in the United States. Through extensive research at the Institute of Medicine, the authors use the field of ‘cultural competence’ as a strategy to overcome these disparities. They established a comprehensive way to think about cultural competence which included aspects of intervention and a practical implementation structure that addresses racial/ethnic disparities with individual health and healthcare.  In order to create this framework, the authors collected research from the National Institute of Health, the Commonwealth Fund and the Department of Health and Human Services. This research focused on the sociocultural barriers to care, identified the three major levels of health care and the threshold at which a specific barrier occurs. The </w:t>
      </w:r>
      <w:r w:rsidR="008A3212">
        <w:rPr>
          <w:rFonts w:ascii="Times New Roman" w:hAnsi="Times New Roman" w:cs="Times New Roman"/>
          <w:sz w:val="24"/>
          <w:szCs w:val="24"/>
          <w:highlight w:val="white"/>
        </w:rPr>
        <w:t>result of this study indicates racial/ ethnic minorities are</w:t>
      </w:r>
      <w:r>
        <w:rPr>
          <w:rFonts w:ascii="Times New Roman" w:hAnsi="Times New Roman" w:cs="Times New Roman"/>
          <w:sz w:val="24"/>
          <w:szCs w:val="24"/>
          <w:highlight w:val="white"/>
        </w:rPr>
        <w:t xml:space="preserve"> severe</w:t>
      </w:r>
      <w:r w:rsidR="008A3212">
        <w:rPr>
          <w:rFonts w:ascii="Times New Roman" w:hAnsi="Times New Roman" w:cs="Times New Roman"/>
          <w:sz w:val="24"/>
          <w:szCs w:val="24"/>
          <w:highlight w:val="white"/>
        </w:rPr>
        <w:t>ly underrepresented and this is</w:t>
      </w:r>
      <w:r>
        <w:rPr>
          <w:rFonts w:ascii="Times New Roman" w:hAnsi="Times New Roman" w:cs="Times New Roman"/>
          <w:sz w:val="24"/>
          <w:szCs w:val="24"/>
          <w:highlight w:val="white"/>
        </w:rPr>
        <w:t xml:space="preserve"> due to sociocultural barriers to care.</w:t>
      </w:r>
      <w:r w:rsidRPr="00831BB2">
        <w:rPr>
          <w:rFonts w:ascii="Times New Roman" w:hAnsi="Times New Roman" w:cs="Times New Roman"/>
          <w:sz w:val="24"/>
          <w:szCs w:val="24"/>
          <w:highlight w:val="white"/>
        </w:rPr>
        <w:t xml:space="preserve"> </w:t>
      </w:r>
      <w:r w:rsidR="008A3212">
        <w:rPr>
          <w:rFonts w:ascii="Times New Roman" w:hAnsi="Times New Roman" w:cs="Times New Roman"/>
          <w:sz w:val="24"/>
          <w:szCs w:val="24"/>
          <w:highlight w:val="white"/>
        </w:rPr>
        <w:t>These barriers include</w:t>
      </w:r>
      <w:r>
        <w:rPr>
          <w:rFonts w:ascii="Times New Roman" w:hAnsi="Times New Roman" w:cs="Times New Roman"/>
          <w:sz w:val="24"/>
          <w:szCs w:val="24"/>
          <w:highlight w:val="white"/>
        </w:rPr>
        <w:t xml:space="preserve"> levels of leadership/ workforce, the structure in processing individual care </w:t>
      </w:r>
      <w:r w:rsidR="008A3212">
        <w:rPr>
          <w:rFonts w:ascii="Times New Roman" w:hAnsi="Times New Roman" w:cs="Times New Roman"/>
          <w:sz w:val="24"/>
          <w:szCs w:val="24"/>
          <w:highlight w:val="white"/>
        </w:rPr>
        <w:t>and providing</w:t>
      </w:r>
      <w:r>
        <w:rPr>
          <w:rFonts w:ascii="Times New Roman" w:hAnsi="Times New Roman" w:cs="Times New Roman"/>
          <w:sz w:val="24"/>
          <w:szCs w:val="24"/>
          <w:highlight w:val="white"/>
        </w:rPr>
        <w:t xml:space="preserve"> better clinical patient encounters. After identifying these three barriers </w:t>
      </w:r>
      <w:r w:rsidR="008A3212">
        <w:rPr>
          <w:rFonts w:ascii="Times New Roman" w:hAnsi="Times New Roman" w:cs="Times New Roman"/>
          <w:sz w:val="24"/>
          <w:szCs w:val="24"/>
          <w:highlight w:val="white"/>
        </w:rPr>
        <w:t>of health</w:t>
      </w:r>
      <w:r>
        <w:rPr>
          <w:rFonts w:ascii="Times New Roman" w:hAnsi="Times New Roman" w:cs="Times New Roman"/>
          <w:sz w:val="24"/>
          <w:szCs w:val="24"/>
          <w:highlight w:val="white"/>
        </w:rPr>
        <w:t xml:space="preserve"> care disparity, the authors'</w:t>
      </w:r>
      <w:r w:rsidR="008A3212">
        <w:rPr>
          <w:rFonts w:ascii="Times New Roman" w:hAnsi="Times New Roman" w:cs="Times New Roman"/>
          <w:sz w:val="24"/>
          <w:szCs w:val="24"/>
          <w:highlight w:val="white"/>
        </w:rPr>
        <w:t xml:space="preserve"> </w:t>
      </w:r>
      <w:r>
        <w:rPr>
          <w:rFonts w:ascii="Times New Roman" w:hAnsi="Times New Roman" w:cs="Times New Roman"/>
          <w:sz w:val="24"/>
          <w:szCs w:val="24"/>
          <w:highlight w:val="white"/>
        </w:rPr>
        <w:t xml:space="preserve">establish </w:t>
      </w:r>
      <w:r w:rsidR="000E0997">
        <w:rPr>
          <w:rFonts w:ascii="Times New Roman" w:hAnsi="Times New Roman" w:cs="Times New Roman"/>
          <w:sz w:val="24"/>
          <w:szCs w:val="24"/>
          <w:highlight w:val="white"/>
        </w:rPr>
        <w:t>a framework</w:t>
      </w:r>
      <w:r>
        <w:rPr>
          <w:rFonts w:ascii="Times New Roman" w:hAnsi="Times New Roman" w:cs="Times New Roman"/>
          <w:sz w:val="24"/>
          <w:szCs w:val="24"/>
          <w:highlight w:val="white"/>
        </w:rPr>
        <w:t xml:space="preserve"> of interventions, that include an increase </w:t>
      </w:r>
      <w:r w:rsidR="000E0997">
        <w:rPr>
          <w:rFonts w:ascii="Times New Roman" w:hAnsi="Times New Roman" w:cs="Times New Roman"/>
          <w:sz w:val="24"/>
          <w:szCs w:val="24"/>
          <w:highlight w:val="white"/>
        </w:rPr>
        <w:t>in “minority</w:t>
      </w:r>
      <w:r>
        <w:rPr>
          <w:rFonts w:ascii="Times New Roman" w:hAnsi="Times New Roman" w:cs="Times New Roman"/>
          <w:sz w:val="24"/>
          <w:szCs w:val="24"/>
          <w:highlight w:val="white"/>
        </w:rPr>
        <w:t xml:space="preserve"> recruitment into... health professions, development of interpreter services and language... and provider educat</w:t>
      </w:r>
      <w:r w:rsidR="00FB1132">
        <w:rPr>
          <w:rFonts w:ascii="Times New Roman" w:hAnsi="Times New Roman" w:cs="Times New Roman"/>
          <w:sz w:val="24"/>
          <w:szCs w:val="24"/>
          <w:highlight w:val="white"/>
        </w:rPr>
        <w:t xml:space="preserve">ion on cross-cultural issues... </w:t>
      </w:r>
      <w:r>
        <w:rPr>
          <w:rFonts w:ascii="Times New Roman" w:hAnsi="Times New Roman" w:cs="Times New Roman"/>
          <w:sz w:val="24"/>
          <w:szCs w:val="24"/>
          <w:highlight w:val="white"/>
        </w:rPr>
        <w:t>to categorize strategies and address racial/ethnic disparities in health and health care</w:t>
      </w:r>
      <w:r w:rsidR="000E0997">
        <w:rPr>
          <w:rFonts w:ascii="Times New Roman" w:hAnsi="Times New Roman" w:cs="Times New Roman"/>
          <w:sz w:val="24"/>
          <w:szCs w:val="24"/>
          <w:highlight w:val="white"/>
        </w:rPr>
        <w:t>” (</w:t>
      </w:r>
      <w:r>
        <w:rPr>
          <w:rFonts w:ascii="Times New Roman" w:hAnsi="Times New Roman" w:cs="Times New Roman"/>
          <w:sz w:val="24"/>
          <w:szCs w:val="24"/>
          <w:highlight w:val="white"/>
        </w:rPr>
        <w:t xml:space="preserve">J.R Betancourt, A.R Green, J.E Carrillo, O, </w:t>
      </w:r>
      <w:proofErr w:type="spellStart"/>
      <w:r>
        <w:rPr>
          <w:rFonts w:ascii="Times New Roman" w:hAnsi="Times New Roman" w:cs="Times New Roman"/>
          <w:sz w:val="24"/>
          <w:szCs w:val="24"/>
          <w:highlight w:val="white"/>
        </w:rPr>
        <w:t>Ananeh-Firempong</w:t>
      </w:r>
      <w:proofErr w:type="spellEnd"/>
      <w:r>
        <w:rPr>
          <w:rFonts w:ascii="Times New Roman" w:hAnsi="Times New Roman" w:cs="Times New Roman"/>
          <w:sz w:val="24"/>
          <w:szCs w:val="24"/>
          <w:highlight w:val="white"/>
        </w:rPr>
        <w:t xml:space="preserve">, pg. 293).      </w:t>
      </w:r>
    </w:p>
    <w:p w14:paraId="7A7035E0" w14:textId="77777777" w:rsidR="00387ACB" w:rsidRPr="000477F8" w:rsidRDefault="00387ACB" w:rsidP="009B4ECE">
      <w:pPr>
        <w:spacing w:after="0" w:line="240" w:lineRule="auto"/>
        <w:rPr>
          <w:rFonts w:ascii="Times New Roman" w:hAnsi="Times New Roman" w:cs="Times New Roman"/>
          <w:sz w:val="24"/>
          <w:szCs w:val="24"/>
        </w:rPr>
      </w:pPr>
    </w:p>
    <w:p w14:paraId="3DCFC2C5" w14:textId="77777777" w:rsidR="00387ACB" w:rsidRPr="00F06AA9" w:rsidRDefault="00DA02BA" w:rsidP="009B4ECE">
      <w:pPr>
        <w:spacing w:after="0" w:line="240" w:lineRule="auto"/>
        <w:rPr>
          <w:rFonts w:ascii="Times New Roman" w:hAnsi="Times New Roman" w:cs="Times New Roman"/>
          <w:b/>
          <w:sz w:val="24"/>
          <w:szCs w:val="24"/>
        </w:rPr>
      </w:pPr>
      <w:hyperlink r:id="rId6" w:tooltip="Edit this item" w:history="1">
        <w:proofErr w:type="spellStart"/>
        <w:r w:rsidR="00387ACB" w:rsidRPr="00F06AA9">
          <w:rPr>
            <w:rStyle w:val="Hyperlink"/>
            <w:rFonts w:ascii="Times New Roman" w:hAnsi="Times New Roman" w:cs="Times New Roman"/>
            <w:b/>
            <w:color w:val="auto"/>
            <w:sz w:val="24"/>
            <w:szCs w:val="24"/>
            <w:u w:val="none"/>
          </w:rPr>
          <w:t>Nishishiba</w:t>
        </w:r>
        <w:proofErr w:type="spellEnd"/>
        <w:r w:rsidR="00387ACB" w:rsidRPr="00F06AA9">
          <w:rPr>
            <w:rStyle w:val="Hyperlink"/>
            <w:rFonts w:ascii="Times New Roman" w:hAnsi="Times New Roman" w:cs="Times New Roman"/>
            <w:b/>
            <w:color w:val="auto"/>
            <w:sz w:val="24"/>
            <w:szCs w:val="24"/>
            <w:u w:val="none"/>
          </w:rPr>
          <w:t xml:space="preserve">, M (2012). "Local Government Diversity Initiatives in Oregon: An Exploratory Study." </w:t>
        </w:r>
        <w:r w:rsidR="00387ACB" w:rsidRPr="00F06AA9">
          <w:rPr>
            <w:rStyle w:val="Hyperlink"/>
            <w:rFonts w:ascii="Times New Roman" w:hAnsi="Times New Roman" w:cs="Times New Roman"/>
            <w:b/>
            <w:iCs/>
            <w:color w:val="auto"/>
            <w:sz w:val="24"/>
            <w:szCs w:val="24"/>
            <w:u w:val="none"/>
          </w:rPr>
          <w:t>State and Local Government Review</w:t>
        </w:r>
        <w:r w:rsidR="00387ACB" w:rsidRPr="00F06AA9">
          <w:rPr>
            <w:rStyle w:val="Hyperlink"/>
            <w:rFonts w:ascii="Times New Roman" w:hAnsi="Times New Roman" w:cs="Times New Roman"/>
            <w:b/>
            <w:color w:val="auto"/>
            <w:sz w:val="24"/>
            <w:szCs w:val="24"/>
            <w:u w:val="none"/>
          </w:rPr>
          <w:t xml:space="preserve"> 44 (1): 55-66.</w:t>
        </w:r>
      </w:hyperlink>
    </w:p>
    <w:p w14:paraId="68DAE025" w14:textId="77777777" w:rsidR="00033A58" w:rsidRPr="00530226" w:rsidRDefault="00E65724" w:rsidP="009B4ECE">
      <w:pPr>
        <w:spacing w:after="0" w:line="240" w:lineRule="auto"/>
        <w:rPr>
          <w:rFonts w:ascii="Times New Roman" w:hAnsi="Times New Roman" w:cs="Times New Roman"/>
          <w:sz w:val="24"/>
          <w:szCs w:val="24"/>
        </w:rPr>
      </w:pPr>
      <w:r>
        <w:rPr>
          <w:rFonts w:ascii="Times New Roman" w:hAnsi="Times New Roman" w:cs="Times New Roman"/>
          <w:sz w:val="24"/>
          <w:szCs w:val="24"/>
          <w:highlight w:val="white"/>
        </w:rPr>
        <w:t>The increase of diversity and demographic changes in the US federal workforce has pushed local state government to incorporate</w:t>
      </w:r>
      <w:r w:rsidR="00AB671B">
        <w:rPr>
          <w:rFonts w:ascii="Times New Roman" w:hAnsi="Times New Roman" w:cs="Times New Roman"/>
          <w:sz w:val="24"/>
          <w:szCs w:val="24"/>
          <w:highlight w:val="white"/>
        </w:rPr>
        <w:t xml:space="preserve"> various inclusion initiatives.’</w:t>
      </w:r>
      <w:r>
        <w:rPr>
          <w:rFonts w:ascii="Times New Roman" w:hAnsi="Times New Roman" w:cs="Times New Roman"/>
          <w:sz w:val="24"/>
          <w:szCs w:val="24"/>
          <w:highlight w:val="white"/>
        </w:rPr>
        <w:t xml:space="preserve"> The focus of this study is to find overlapping common best practices across local government branches in the state of Oregon, which promotes both diversity management and diversity-centered activities. The study involved face to face interviews with individuals who were responsible for directing their local branch’s diversity initiatives from 'five counties and six cities'</w:t>
      </w:r>
      <w:r w:rsidR="00AB671B">
        <w:rPr>
          <w:rFonts w:ascii="Times New Roman" w:hAnsi="Times New Roman" w:cs="Times New Roman"/>
          <w:sz w:val="24"/>
          <w:szCs w:val="24"/>
          <w:highlight w:val="white"/>
        </w:rPr>
        <w:t xml:space="preserve"> (M, </w:t>
      </w:r>
      <w:proofErr w:type="spellStart"/>
      <w:r w:rsidR="00AB671B">
        <w:rPr>
          <w:rFonts w:ascii="Times New Roman" w:hAnsi="Times New Roman" w:cs="Times New Roman"/>
          <w:sz w:val="24"/>
          <w:szCs w:val="24"/>
          <w:highlight w:val="white"/>
        </w:rPr>
        <w:t>Nishishiba</w:t>
      </w:r>
      <w:proofErr w:type="spellEnd"/>
      <w:r w:rsidR="00AB671B">
        <w:rPr>
          <w:rFonts w:ascii="Times New Roman" w:hAnsi="Times New Roman" w:cs="Times New Roman"/>
          <w:sz w:val="24"/>
          <w:szCs w:val="24"/>
          <w:highlight w:val="white"/>
        </w:rPr>
        <w:t>, 2012, pg. 58). The three</w:t>
      </w:r>
      <w:r>
        <w:rPr>
          <w:rFonts w:ascii="Times New Roman" w:hAnsi="Times New Roman" w:cs="Times New Roman"/>
          <w:sz w:val="24"/>
          <w:szCs w:val="24"/>
          <w:highlight w:val="white"/>
        </w:rPr>
        <w:t xml:space="preserve"> main question’</w:t>
      </w:r>
      <w:r w:rsidR="00F93F30">
        <w:rPr>
          <w:rFonts w:ascii="Times New Roman" w:hAnsi="Times New Roman" w:cs="Times New Roman"/>
          <w:sz w:val="24"/>
          <w:szCs w:val="24"/>
          <w:highlight w:val="white"/>
        </w:rPr>
        <w:t>s this study focuses on, includes</w:t>
      </w:r>
      <w:r>
        <w:rPr>
          <w:rFonts w:ascii="Times New Roman" w:hAnsi="Times New Roman" w:cs="Times New Roman"/>
          <w:sz w:val="24"/>
          <w:szCs w:val="24"/>
          <w:highlight w:val="white"/>
        </w:rPr>
        <w:t>,” What types of activities are conducted by local governments in their diversity development and management initiatives? 2. What factors affect the progress of local government diversity development and</w:t>
      </w:r>
      <w:r w:rsidR="00AB671B">
        <w:rPr>
          <w:rFonts w:ascii="Times New Roman" w:hAnsi="Times New Roman" w:cs="Times New Roman"/>
          <w:sz w:val="24"/>
          <w:szCs w:val="24"/>
          <w:highlight w:val="white"/>
        </w:rPr>
        <w:t xml:space="preserve"> management initiatives?” and</w:t>
      </w:r>
      <w:r>
        <w:rPr>
          <w:rFonts w:ascii="Times New Roman" w:hAnsi="Times New Roman" w:cs="Times New Roman"/>
          <w:sz w:val="24"/>
          <w:szCs w:val="24"/>
          <w:highlight w:val="white"/>
        </w:rPr>
        <w:t xml:space="preserve"> 3. What recommendations can be drawn for future diversity development and management initiatives</w:t>
      </w:r>
      <w:r w:rsidR="00AB671B">
        <w:rPr>
          <w:rFonts w:ascii="Times New Roman" w:hAnsi="Times New Roman" w:cs="Times New Roman"/>
          <w:sz w:val="24"/>
          <w:szCs w:val="24"/>
          <w:highlight w:val="white"/>
        </w:rPr>
        <w:t xml:space="preserve">” (M, </w:t>
      </w:r>
      <w:proofErr w:type="spellStart"/>
      <w:r w:rsidR="00AB671B">
        <w:rPr>
          <w:rFonts w:ascii="Times New Roman" w:hAnsi="Times New Roman" w:cs="Times New Roman"/>
          <w:sz w:val="24"/>
          <w:szCs w:val="24"/>
          <w:highlight w:val="white"/>
        </w:rPr>
        <w:t>Nishishiba</w:t>
      </w:r>
      <w:proofErr w:type="spellEnd"/>
      <w:r w:rsidR="00AB671B">
        <w:rPr>
          <w:rFonts w:ascii="Times New Roman" w:hAnsi="Times New Roman" w:cs="Times New Roman"/>
          <w:sz w:val="24"/>
          <w:szCs w:val="24"/>
          <w:highlight w:val="white"/>
        </w:rPr>
        <w:t>, 2012, pg. 58).</w:t>
      </w:r>
      <w:r>
        <w:rPr>
          <w:rFonts w:ascii="Times New Roman" w:hAnsi="Times New Roman" w:cs="Times New Roman"/>
          <w:sz w:val="24"/>
          <w:szCs w:val="24"/>
          <w:highlight w:val="white"/>
        </w:rPr>
        <w:t xml:space="preserve"> The empirical importance that resulted from this study shows</w:t>
      </w:r>
      <w:r w:rsidR="00DE1CB3">
        <w:rPr>
          <w:rFonts w:ascii="Times New Roman" w:hAnsi="Times New Roman" w:cs="Times New Roman"/>
          <w:sz w:val="24"/>
          <w:szCs w:val="24"/>
          <w:highlight w:val="white"/>
        </w:rPr>
        <w:t xml:space="preserve"> from every interviewee explained </w:t>
      </w:r>
      <w:r w:rsidR="00F93F30">
        <w:rPr>
          <w:rFonts w:ascii="Times New Roman" w:hAnsi="Times New Roman" w:cs="Times New Roman"/>
          <w:sz w:val="24"/>
          <w:szCs w:val="24"/>
          <w:highlight w:val="white"/>
        </w:rPr>
        <w:t>that</w:t>
      </w:r>
      <w:r>
        <w:rPr>
          <w:rFonts w:ascii="Times New Roman" w:hAnsi="Times New Roman" w:cs="Times New Roman"/>
          <w:sz w:val="24"/>
          <w:szCs w:val="24"/>
          <w:highlight w:val="white"/>
        </w:rPr>
        <w:t xml:space="preserve"> diversifying employees within an organization better serves</w:t>
      </w:r>
      <w:r w:rsidR="00DE1CB3">
        <w:rPr>
          <w:rFonts w:ascii="Times New Roman" w:hAnsi="Times New Roman" w:cs="Times New Roman"/>
          <w:sz w:val="24"/>
          <w:szCs w:val="24"/>
          <w:highlight w:val="white"/>
        </w:rPr>
        <w:t xml:space="preserve"> </w:t>
      </w:r>
      <w:r>
        <w:rPr>
          <w:rFonts w:ascii="Times New Roman" w:hAnsi="Times New Roman" w:cs="Times New Roman"/>
          <w:sz w:val="24"/>
          <w:szCs w:val="24"/>
          <w:highlight w:val="white"/>
        </w:rPr>
        <w:t>that same diverse community. This result supports an earlier theory in the study that citizens of a diverse workforce better represent the citizen’s needs within a diverse community</w:t>
      </w:r>
      <w:r w:rsidR="00DE1CB3">
        <w:rPr>
          <w:rFonts w:ascii="Times New Roman" w:hAnsi="Times New Roman" w:cs="Times New Roman"/>
          <w:sz w:val="24"/>
          <w:szCs w:val="24"/>
          <w:highlight w:val="white"/>
        </w:rPr>
        <w:t>. There was also overlapping consensus on</w:t>
      </w:r>
      <w:r w:rsidR="00CF193D">
        <w:rPr>
          <w:rFonts w:ascii="Times New Roman" w:hAnsi="Times New Roman" w:cs="Times New Roman"/>
          <w:sz w:val="24"/>
          <w:szCs w:val="24"/>
          <w:highlight w:val="white"/>
        </w:rPr>
        <w:t xml:space="preserve"> public management to </w:t>
      </w:r>
      <w:r w:rsidR="00C9691A">
        <w:rPr>
          <w:rFonts w:ascii="Times New Roman" w:hAnsi="Times New Roman" w:cs="Times New Roman"/>
          <w:sz w:val="24"/>
          <w:szCs w:val="24"/>
          <w:highlight w:val="white"/>
        </w:rPr>
        <w:t xml:space="preserve">support inclusive </w:t>
      </w:r>
      <w:r w:rsidR="00CF193D">
        <w:rPr>
          <w:rFonts w:ascii="Times New Roman" w:hAnsi="Times New Roman" w:cs="Times New Roman"/>
          <w:sz w:val="24"/>
          <w:szCs w:val="24"/>
          <w:highlight w:val="white"/>
        </w:rPr>
        <w:t xml:space="preserve">opinions </w:t>
      </w:r>
      <w:r w:rsidR="00C9691A">
        <w:rPr>
          <w:rFonts w:ascii="Times New Roman" w:hAnsi="Times New Roman" w:cs="Times New Roman"/>
          <w:sz w:val="24"/>
          <w:szCs w:val="24"/>
          <w:highlight w:val="white"/>
        </w:rPr>
        <w:t>when</w:t>
      </w:r>
      <w:r w:rsidR="00CF193D">
        <w:rPr>
          <w:rFonts w:ascii="Times New Roman" w:hAnsi="Times New Roman" w:cs="Times New Roman"/>
          <w:sz w:val="24"/>
          <w:szCs w:val="24"/>
          <w:highlight w:val="white"/>
        </w:rPr>
        <w:t xml:space="preserve"> within the diverse workf</w:t>
      </w:r>
      <w:r w:rsidR="00CF193D">
        <w:rPr>
          <w:rFonts w:ascii="Times New Roman" w:hAnsi="Times New Roman" w:cs="Times New Roman"/>
          <w:sz w:val="24"/>
          <w:szCs w:val="24"/>
        </w:rPr>
        <w:t xml:space="preserve">orce and with among community members.   </w:t>
      </w:r>
    </w:p>
    <w:p w14:paraId="2FD5DDB5" w14:textId="77777777" w:rsidR="00033A58" w:rsidRDefault="00033A58" w:rsidP="009B4ECE">
      <w:pPr>
        <w:spacing w:after="0" w:line="240" w:lineRule="auto"/>
        <w:rPr>
          <w:rFonts w:ascii="Times New Roman" w:hAnsi="Times New Roman" w:cs="Times New Roman"/>
          <w:sz w:val="24"/>
          <w:szCs w:val="24"/>
        </w:rPr>
      </w:pPr>
    </w:p>
    <w:p w14:paraId="3AA742AB" w14:textId="77777777" w:rsidR="00033A58" w:rsidRDefault="00033A58" w:rsidP="009B4ECE">
      <w:pPr>
        <w:spacing w:after="0" w:line="240" w:lineRule="auto"/>
        <w:rPr>
          <w:rFonts w:ascii="Times New Roman" w:hAnsi="Times New Roman" w:cs="Times New Roman"/>
          <w:sz w:val="24"/>
          <w:szCs w:val="24"/>
        </w:rPr>
      </w:pPr>
    </w:p>
    <w:p w14:paraId="3DB572C3" w14:textId="77777777" w:rsidR="00033A58" w:rsidRPr="00F06AA9" w:rsidRDefault="00F06AA9" w:rsidP="009B4ECE">
      <w:pPr>
        <w:spacing w:after="0" w:line="240" w:lineRule="auto"/>
        <w:rPr>
          <w:rFonts w:ascii="Times New Roman" w:hAnsi="Times New Roman" w:cs="Times New Roman"/>
          <w:b/>
          <w:sz w:val="24"/>
          <w:szCs w:val="24"/>
        </w:rPr>
      </w:pPr>
      <w:r w:rsidRPr="00F06AA9">
        <w:rPr>
          <w:rFonts w:ascii="Times New Roman" w:hAnsi="Times New Roman" w:cs="Times New Roman"/>
          <w:b/>
          <w:sz w:val="24"/>
          <w:szCs w:val="24"/>
        </w:rPr>
        <w:t xml:space="preserve">Bradbury, Mark and J. E. </w:t>
      </w:r>
      <w:proofErr w:type="spellStart"/>
      <w:r w:rsidRPr="00F06AA9">
        <w:rPr>
          <w:rFonts w:ascii="Times New Roman" w:hAnsi="Times New Roman" w:cs="Times New Roman"/>
          <w:b/>
          <w:sz w:val="24"/>
          <w:szCs w:val="24"/>
        </w:rPr>
        <w:t>Kellough</w:t>
      </w:r>
      <w:proofErr w:type="spellEnd"/>
      <w:r w:rsidRPr="00F06AA9">
        <w:rPr>
          <w:rFonts w:ascii="Times New Roman" w:hAnsi="Times New Roman" w:cs="Times New Roman"/>
          <w:b/>
          <w:sz w:val="24"/>
          <w:szCs w:val="24"/>
        </w:rPr>
        <w:t xml:space="preserve">. </w:t>
      </w:r>
      <w:r>
        <w:rPr>
          <w:rFonts w:ascii="Times New Roman" w:hAnsi="Times New Roman" w:cs="Times New Roman"/>
          <w:b/>
          <w:sz w:val="24"/>
          <w:szCs w:val="24"/>
        </w:rPr>
        <w:t>(</w:t>
      </w:r>
      <w:r w:rsidRPr="00F06AA9">
        <w:rPr>
          <w:rFonts w:ascii="Times New Roman" w:hAnsi="Times New Roman" w:cs="Times New Roman"/>
          <w:b/>
          <w:sz w:val="24"/>
          <w:szCs w:val="24"/>
        </w:rPr>
        <w:t>2011</w:t>
      </w:r>
      <w:r>
        <w:rPr>
          <w:rFonts w:ascii="Times New Roman" w:hAnsi="Times New Roman" w:cs="Times New Roman"/>
          <w:b/>
          <w:sz w:val="24"/>
          <w:szCs w:val="24"/>
        </w:rPr>
        <w:t>)</w:t>
      </w:r>
      <w:r w:rsidRPr="00F06AA9">
        <w:rPr>
          <w:rFonts w:ascii="Times New Roman" w:hAnsi="Times New Roman" w:cs="Times New Roman"/>
          <w:b/>
          <w:sz w:val="24"/>
          <w:szCs w:val="24"/>
        </w:rPr>
        <w:t xml:space="preserve">. "Representative Bureaucracy: Assessing the Evidence on Active Representation." </w:t>
      </w:r>
      <w:r w:rsidRPr="00F06AA9">
        <w:rPr>
          <w:rFonts w:ascii="Times New Roman" w:hAnsi="Times New Roman" w:cs="Times New Roman"/>
          <w:b/>
          <w:iCs/>
          <w:sz w:val="24"/>
          <w:szCs w:val="24"/>
        </w:rPr>
        <w:t>American Review of Public Administration</w:t>
      </w:r>
      <w:r w:rsidRPr="00F06AA9">
        <w:rPr>
          <w:rFonts w:ascii="Times New Roman" w:hAnsi="Times New Roman" w:cs="Times New Roman"/>
          <w:b/>
          <w:sz w:val="24"/>
          <w:szCs w:val="24"/>
        </w:rPr>
        <w:t xml:space="preserve"> 41 (2): 157</w:t>
      </w:r>
      <w:r w:rsidR="00287568">
        <w:rPr>
          <w:rFonts w:ascii="Times New Roman" w:hAnsi="Times New Roman" w:cs="Times New Roman"/>
          <w:b/>
          <w:sz w:val="24"/>
          <w:szCs w:val="24"/>
        </w:rPr>
        <w:t>-167</w:t>
      </w:r>
      <w:r w:rsidRPr="00F06AA9">
        <w:rPr>
          <w:rFonts w:ascii="Times New Roman" w:hAnsi="Times New Roman" w:cs="Times New Roman"/>
          <w:b/>
          <w:sz w:val="24"/>
          <w:szCs w:val="24"/>
        </w:rPr>
        <w:t xml:space="preserve">. </w:t>
      </w:r>
    </w:p>
    <w:p w14:paraId="2E0C98C6" w14:textId="77777777" w:rsidR="00EA56E0" w:rsidRPr="00AB671B" w:rsidRDefault="00D17DB0" w:rsidP="00AB671B">
      <w:pPr>
        <w:autoSpaceDE w:val="0"/>
        <w:autoSpaceDN w:val="0"/>
        <w:adjustRightInd w:val="0"/>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There is growing concern among US government agencies to find the right balance between policies that represent the public, and bureaucratic influenced politics. This article explains the two leading theories of bureaucratic representations of a public agency. The first involving passive representation, this theory first coined by Fredrick Mosher, involves representatives from specific ethnic, racial and gender based minorities hired within the ranks of a public agency, as a way to represent the public's</w:t>
      </w:r>
      <w:r w:rsidR="00AB671B">
        <w:rPr>
          <w:rFonts w:ascii="Times New Roman" w:hAnsi="Times New Roman" w:cs="Times New Roman"/>
          <w:sz w:val="24"/>
          <w:szCs w:val="24"/>
          <w:highlight w:val="white"/>
        </w:rPr>
        <w:t xml:space="preserve"> </w:t>
      </w:r>
      <w:r>
        <w:rPr>
          <w:rFonts w:ascii="Times New Roman" w:hAnsi="Times New Roman" w:cs="Times New Roman"/>
          <w:sz w:val="24"/>
          <w:szCs w:val="24"/>
          <w:highlight w:val="white"/>
        </w:rPr>
        <w:t>interest. Then the article explains that active representation, which is composed to bureaucratic groups that have large constituents support within minority populations and the legal expertise to create influence on a public agency. This bureaucratic group actively “presser’s public agencies</w:t>
      </w:r>
      <w:r>
        <w:rPr>
          <w:rFonts w:ascii="TimesNewRomanPSMT" w:hAnsi="TimesNewRomanPSMT" w:cs="TimesNewRomanPSMT"/>
          <w:sz w:val="24"/>
          <w:szCs w:val="24"/>
          <w:highlight w:val="white"/>
        </w:rPr>
        <w:t xml:space="preserve"> for the interests and desires of those whom he is presumed to represent… see that the interests of individuals who share their group identities are not overlooked when policy-relevant decisions are made”(M. Bradbury, E </w:t>
      </w:r>
      <w:proofErr w:type="spellStart"/>
      <w:r>
        <w:rPr>
          <w:rFonts w:ascii="TimesNewRomanPSMT" w:hAnsi="TimesNewRomanPSMT" w:cs="TimesNewRomanPSMT"/>
          <w:sz w:val="24"/>
          <w:szCs w:val="24"/>
          <w:highlight w:val="white"/>
        </w:rPr>
        <w:t>Kellough</w:t>
      </w:r>
      <w:proofErr w:type="spellEnd"/>
      <w:r>
        <w:rPr>
          <w:rFonts w:ascii="TimesNewRomanPSMT" w:hAnsi="TimesNewRomanPSMT" w:cs="TimesNewRomanPSMT"/>
          <w:sz w:val="24"/>
          <w:szCs w:val="24"/>
          <w:highlight w:val="white"/>
        </w:rPr>
        <w:t xml:space="preserve">, 2010, pg. 158).  The idea of a bureaucratic representation is that the passive representation ultimately leads to active representation. The study try’s to look at correlations between minorities or female bureaucrats of a public agency and if, bureaucratic policy outcomes are consistent with the interests of these minority or female groups. Even though, there were very few studies conducted on active representation and difficulties in separating the effects of bureaucratic outcomes from minority and non-minority groups; empirical based results on ‘organizational-level data’ with public agencies in the criminal justice sector presented a consistencies to active representation. The studies on criminal justice literature were able to separate individual behavior, of ‘minority or female bureaucrats from that of nonminority bureaucrats or men’ (M. Bradbury, E </w:t>
      </w:r>
      <w:proofErr w:type="spellStart"/>
      <w:r>
        <w:rPr>
          <w:rFonts w:ascii="TimesNewRomanPSMT" w:hAnsi="TimesNewRomanPSMT" w:cs="TimesNewRomanPSMT"/>
          <w:sz w:val="24"/>
          <w:szCs w:val="24"/>
          <w:highlight w:val="white"/>
        </w:rPr>
        <w:t>Kellough</w:t>
      </w:r>
      <w:proofErr w:type="spellEnd"/>
      <w:r>
        <w:rPr>
          <w:rFonts w:ascii="TimesNewRomanPSMT" w:hAnsi="TimesNewRomanPSMT" w:cs="TimesNewRomanPSMT"/>
          <w:sz w:val="24"/>
          <w:szCs w:val="24"/>
          <w:highlight w:val="white"/>
        </w:rPr>
        <w:t>, 2010, pg. 164). These findings in the criminal justice sector provide support for bureaucratic representation.</w:t>
      </w:r>
    </w:p>
    <w:p w14:paraId="344DAC3D" w14:textId="77777777" w:rsidR="00EA56E0" w:rsidRPr="00CA7153" w:rsidRDefault="00EA56E0">
      <w:pPr>
        <w:rPr>
          <w:rFonts w:ascii="Times New Roman" w:hAnsi="Times New Roman" w:cs="Times New Roman"/>
          <w:sz w:val="24"/>
          <w:szCs w:val="24"/>
        </w:rPr>
      </w:pPr>
    </w:p>
    <w:p w14:paraId="62985CF9" w14:textId="77777777" w:rsidR="00631DDD" w:rsidRDefault="00EA56E0" w:rsidP="00631DDD">
      <w:pPr>
        <w:rPr>
          <w:rFonts w:ascii="Times New Roman" w:hAnsi="Times New Roman" w:cs="Times New Roman"/>
          <w:b/>
          <w:sz w:val="24"/>
          <w:szCs w:val="24"/>
          <w:lang w:val="en"/>
        </w:rPr>
      </w:pPr>
      <w:r w:rsidRPr="00CA7153">
        <w:rPr>
          <w:rFonts w:ascii="Times New Roman" w:hAnsi="Times New Roman" w:cs="Times New Roman"/>
          <w:b/>
          <w:sz w:val="24"/>
          <w:szCs w:val="24"/>
          <w:lang w:val="en"/>
        </w:rPr>
        <w:t>Pitts, D. W. (2005). Diversity, representation, and performance: Evidence about race and ethnicity in public organizations.</w:t>
      </w:r>
      <w:r w:rsidRPr="00CA7153">
        <w:rPr>
          <w:rFonts w:ascii="Times New Roman" w:hAnsi="Times New Roman" w:cs="Times New Roman"/>
          <w:b/>
          <w:iCs/>
          <w:sz w:val="24"/>
          <w:szCs w:val="24"/>
          <w:lang w:val="en"/>
        </w:rPr>
        <w:t xml:space="preserve"> Journal of Public Administration Research and Theory, 15</w:t>
      </w:r>
      <w:r w:rsidRPr="00CA7153">
        <w:rPr>
          <w:rFonts w:ascii="Times New Roman" w:hAnsi="Times New Roman" w:cs="Times New Roman"/>
          <w:b/>
          <w:sz w:val="24"/>
          <w:szCs w:val="24"/>
          <w:lang w:val="en"/>
        </w:rPr>
        <w:t xml:space="preserve">(4), 615-631. </w:t>
      </w:r>
    </w:p>
    <w:p w14:paraId="6E973322" w14:textId="0A33A210" w:rsidR="00AD1EEE" w:rsidRPr="00631DDD" w:rsidRDefault="00AD1EEE" w:rsidP="00631DDD">
      <w:pPr>
        <w:rPr>
          <w:rFonts w:ascii="Times New Roman" w:hAnsi="Times New Roman" w:cs="Times New Roman"/>
          <w:b/>
          <w:sz w:val="24"/>
          <w:szCs w:val="24"/>
          <w:lang w:val="en"/>
        </w:rPr>
      </w:pPr>
      <w:r>
        <w:rPr>
          <w:rFonts w:ascii="Times New Roman" w:hAnsi="Times New Roman" w:cs="Times New Roman"/>
          <w:sz w:val="24"/>
          <w:szCs w:val="24"/>
          <w:highlight w:val="white"/>
          <w:lang w:val="en"/>
        </w:rPr>
        <w:t>The demographic changes of racial and ethnic groups in the last 20 years have changed significantly in the United States. This has changed policy reforms that promote diversity within the public sector. These diversity initiatives were implemented to ensure that public agents better represented the needs of their specific minority populations. This author conducts a study on the impacts of racial diversity and performance outcomes in one policy by answering three related question that state “</w:t>
      </w:r>
      <w:r>
        <w:rPr>
          <w:rFonts w:ascii="Times New Roman" w:hAnsi="Times New Roman" w:cs="Times New Roman"/>
          <w:sz w:val="24"/>
          <w:szCs w:val="24"/>
          <w:highlight w:val="white"/>
        </w:rPr>
        <w:t>Does racial diversity increase or decrease organizational performance? Does racial representation-matching agency employees to characteristics of the target population-increase or decrease performance? Are these relationships different for street-level bureaucrat diversity and manager diversity?</w:t>
      </w:r>
      <w:r w:rsidR="00AB671B">
        <w:rPr>
          <w:rFonts w:ascii="Times New Roman" w:hAnsi="Times New Roman" w:cs="Times New Roman"/>
          <w:sz w:val="24"/>
          <w:szCs w:val="24"/>
          <w:highlight w:val="white"/>
        </w:rPr>
        <w:t xml:space="preserve"> </w:t>
      </w:r>
      <w:r>
        <w:rPr>
          <w:rFonts w:ascii="Times New Roman" w:hAnsi="Times New Roman" w:cs="Times New Roman"/>
          <w:sz w:val="24"/>
          <w:szCs w:val="24"/>
          <w:highlight w:val="white"/>
        </w:rPr>
        <w:t>(D W. Pitts, 2005, pg. 616</w:t>
      </w:r>
      <w:r w:rsidR="00AB671B">
        <w:rPr>
          <w:rFonts w:ascii="Times New Roman" w:hAnsi="Times New Roman" w:cs="Times New Roman"/>
          <w:sz w:val="24"/>
          <w:szCs w:val="24"/>
          <w:highlight w:val="white"/>
        </w:rPr>
        <w:t>).</w:t>
      </w:r>
      <w:r>
        <w:rPr>
          <w:rFonts w:ascii="Times New Roman" w:hAnsi="Times New Roman" w:cs="Times New Roman"/>
          <w:sz w:val="24"/>
          <w:szCs w:val="24"/>
          <w:highlight w:val="white"/>
        </w:rPr>
        <w:t xml:space="preserve"> The author uses diversity, r</w:t>
      </w:r>
      <w:r w:rsidR="00AB671B">
        <w:rPr>
          <w:rFonts w:ascii="Times New Roman" w:hAnsi="Times New Roman" w:cs="Times New Roman"/>
          <w:sz w:val="24"/>
          <w:szCs w:val="24"/>
          <w:highlight w:val="white"/>
        </w:rPr>
        <w:t xml:space="preserve">epresentation, and performance </w:t>
      </w:r>
      <w:r>
        <w:rPr>
          <w:rFonts w:ascii="Times New Roman" w:hAnsi="Times New Roman" w:cs="Times New Roman"/>
          <w:sz w:val="24"/>
          <w:szCs w:val="24"/>
          <w:highlight w:val="white"/>
        </w:rPr>
        <w:t>as variable of mea</w:t>
      </w:r>
      <w:r w:rsidR="00AB671B">
        <w:rPr>
          <w:rFonts w:ascii="Times New Roman" w:hAnsi="Times New Roman" w:cs="Times New Roman"/>
          <w:sz w:val="24"/>
          <w:szCs w:val="24"/>
          <w:highlight w:val="white"/>
        </w:rPr>
        <w:t xml:space="preserve">surements among a mix of races </w:t>
      </w:r>
      <w:r>
        <w:rPr>
          <w:rFonts w:ascii="Times New Roman" w:hAnsi="Times New Roman" w:cs="Times New Roman"/>
          <w:sz w:val="24"/>
          <w:szCs w:val="24"/>
          <w:highlight w:val="white"/>
        </w:rPr>
        <w:t>that include teachers, administrators, and students in Texas public schools, and it’s school district. Even though the impacts on performance diversity among teachers is negatively related to student dropout rates, diversity among teacher posi</w:t>
      </w:r>
      <w:r w:rsidR="00AB671B">
        <w:rPr>
          <w:rFonts w:ascii="Times New Roman" w:hAnsi="Times New Roman" w:cs="Times New Roman"/>
          <w:sz w:val="24"/>
          <w:szCs w:val="24"/>
          <w:highlight w:val="white"/>
        </w:rPr>
        <w:t xml:space="preserve">tively impacts the performance </w:t>
      </w:r>
      <w:r>
        <w:rPr>
          <w:rFonts w:ascii="Times New Roman" w:hAnsi="Times New Roman" w:cs="Times New Roman"/>
          <w:sz w:val="24"/>
          <w:szCs w:val="24"/>
          <w:highlight w:val="white"/>
        </w:rPr>
        <w:t>on 'Texas Assessment of Academic Skills'</w:t>
      </w:r>
      <w:r w:rsidR="00AB671B">
        <w:rPr>
          <w:rFonts w:ascii="Times New Roman" w:hAnsi="Times New Roman" w:cs="Times New Roman"/>
          <w:sz w:val="24"/>
          <w:szCs w:val="24"/>
          <w:highlight w:val="white"/>
        </w:rPr>
        <w:t xml:space="preserve"> </w:t>
      </w:r>
      <w:r>
        <w:rPr>
          <w:rFonts w:ascii="Times New Roman" w:hAnsi="Times New Roman" w:cs="Times New Roman"/>
          <w:sz w:val="24"/>
          <w:szCs w:val="24"/>
          <w:highlight w:val="white"/>
        </w:rPr>
        <w:t>(“TAAS”)  test that students are require to pass before graduating high school. The study also showed positive effects of representation among diverse managers depending on the size of the minority that the manager was representing.</w:t>
      </w:r>
      <w:r w:rsidRPr="00AD1EEE">
        <w:rPr>
          <w:rFonts w:ascii="Times New Roman" w:hAnsi="Times New Roman" w:cs="Times New Roman"/>
          <w:sz w:val="24"/>
          <w:szCs w:val="24"/>
          <w:highlight w:val="white"/>
        </w:rPr>
        <w:t xml:space="preserve"> </w:t>
      </w:r>
      <w:r>
        <w:rPr>
          <w:rFonts w:ascii="Times New Roman" w:hAnsi="Times New Roman" w:cs="Times New Roman"/>
          <w:sz w:val="24"/>
          <w:szCs w:val="24"/>
          <w:highlight w:val="white"/>
        </w:rPr>
        <w:t>(D W. Pitts, 2005, pg. 621).</w:t>
      </w:r>
    </w:p>
    <w:p w14:paraId="39918900" w14:textId="77777777" w:rsidR="00C86248" w:rsidRDefault="00C86248">
      <w:pPr>
        <w:rPr>
          <w:rFonts w:ascii="Times New Roman" w:hAnsi="Times New Roman" w:cs="Times New Roman"/>
          <w:b/>
          <w:sz w:val="24"/>
          <w:szCs w:val="24"/>
          <w:lang w:val="en"/>
        </w:rPr>
      </w:pPr>
    </w:p>
    <w:p w14:paraId="1F41A356" w14:textId="77777777" w:rsidR="00C86248" w:rsidRDefault="00C86248">
      <w:pPr>
        <w:rPr>
          <w:rFonts w:ascii="Times New Roman" w:hAnsi="Times New Roman" w:cs="Times New Roman"/>
          <w:b/>
          <w:sz w:val="24"/>
          <w:szCs w:val="24"/>
          <w:lang w:val="en"/>
        </w:rPr>
      </w:pPr>
    </w:p>
    <w:p w14:paraId="3423E805" w14:textId="77777777" w:rsidR="00C86248" w:rsidRDefault="00C86248">
      <w:pPr>
        <w:rPr>
          <w:rFonts w:ascii="Times New Roman" w:hAnsi="Times New Roman" w:cs="Times New Roman"/>
          <w:b/>
          <w:sz w:val="24"/>
          <w:szCs w:val="24"/>
          <w:lang w:val="en"/>
        </w:rPr>
      </w:pPr>
    </w:p>
    <w:p w14:paraId="6088D01F" w14:textId="77777777" w:rsidR="00F871EA" w:rsidRPr="00F871EA" w:rsidRDefault="00F871EA" w:rsidP="00F871EA">
      <w:pPr>
        <w:shd w:val="clear" w:color="auto" w:fill="FFFFFF"/>
        <w:spacing w:after="75" w:line="336" w:lineRule="atLeast"/>
        <w:rPr>
          <w:rFonts w:ascii="Times New Roman" w:eastAsia="Times New Roman" w:hAnsi="Times New Roman" w:cs="Times New Roman"/>
          <w:b/>
          <w:sz w:val="24"/>
          <w:szCs w:val="24"/>
          <w:lang w:val="en"/>
        </w:rPr>
      </w:pPr>
      <w:r w:rsidRPr="00F871EA">
        <w:rPr>
          <w:rFonts w:ascii="Times New Roman" w:eastAsia="Times New Roman" w:hAnsi="Times New Roman" w:cs="Times New Roman"/>
          <w:b/>
          <w:sz w:val="24"/>
          <w:szCs w:val="24"/>
          <w:lang w:val="en"/>
        </w:rPr>
        <w:t>Vaughan, A. S., Rosenberg, E., Shouse, R. L., &amp; Sullivan, P. S. (2014). Connecting race and place: A county-level analysis of white, black, and hispanic HIV prevalence, poverty, and level of urbanization.</w:t>
      </w:r>
      <w:r w:rsidRPr="00F871EA">
        <w:rPr>
          <w:rFonts w:ascii="Times New Roman" w:eastAsia="Times New Roman" w:hAnsi="Times New Roman" w:cs="Times New Roman"/>
          <w:b/>
          <w:iCs/>
          <w:sz w:val="24"/>
          <w:szCs w:val="24"/>
          <w:lang w:val="en"/>
        </w:rPr>
        <w:t xml:space="preserve"> American Journal of Public Health,</w:t>
      </w:r>
      <w:r w:rsidRPr="00F871EA">
        <w:rPr>
          <w:rFonts w:ascii="Times New Roman" w:eastAsia="Times New Roman" w:hAnsi="Times New Roman" w:cs="Times New Roman"/>
          <w:b/>
          <w:i/>
          <w:iCs/>
          <w:sz w:val="24"/>
          <w:szCs w:val="24"/>
          <w:lang w:val="en"/>
        </w:rPr>
        <w:t xml:space="preserve"> 104</w:t>
      </w:r>
      <w:r w:rsidRPr="00F871EA">
        <w:rPr>
          <w:rFonts w:ascii="Times New Roman" w:eastAsia="Times New Roman" w:hAnsi="Times New Roman" w:cs="Times New Roman"/>
          <w:b/>
          <w:sz w:val="24"/>
          <w:szCs w:val="24"/>
          <w:lang w:val="en"/>
        </w:rPr>
        <w:t xml:space="preserve">(7), e77-84. </w:t>
      </w:r>
    </w:p>
    <w:p w14:paraId="07E1F75E" w14:textId="77777777" w:rsidR="00D77845" w:rsidRDefault="00D77845" w:rsidP="00D77845">
      <w:pPr>
        <w:autoSpaceDE w:val="0"/>
        <w:autoSpaceDN w:val="0"/>
        <w:adjustRightInd w:val="0"/>
        <w:spacing w:after="0" w:line="240" w:lineRule="auto"/>
        <w:rPr>
          <w:rFonts w:ascii="Times New Roman" w:hAnsi="Times New Roman" w:cs="Times New Roman"/>
          <w:sz w:val="24"/>
          <w:szCs w:val="24"/>
          <w:highlight w:val="white"/>
          <w:lang w:val="en"/>
        </w:rPr>
      </w:pPr>
      <w:r>
        <w:rPr>
          <w:rFonts w:ascii="Times New Roman" w:hAnsi="Times New Roman" w:cs="Times New Roman"/>
          <w:sz w:val="24"/>
          <w:szCs w:val="24"/>
          <w:highlight w:val="white"/>
          <w:lang w:val="en"/>
        </w:rPr>
        <w:t>The human immunodeficiency virus</w:t>
      </w:r>
      <w:r>
        <w:rPr>
          <w:rFonts w:ascii="Arial" w:hAnsi="Arial" w:cs="Arial"/>
          <w:highlight w:val="white"/>
          <w:lang w:val="en"/>
        </w:rPr>
        <w:t xml:space="preserve"> (“</w:t>
      </w:r>
      <w:r>
        <w:rPr>
          <w:rFonts w:ascii="Times New Roman" w:hAnsi="Times New Roman" w:cs="Times New Roman"/>
          <w:sz w:val="24"/>
          <w:szCs w:val="24"/>
          <w:highlight w:val="white"/>
          <w:lang w:val="en"/>
        </w:rPr>
        <w:t>HIV”) is one of the most deadly incurable sexually transmitted diseases in the world.  This virus has killed over 30 million people worldwide (</w:t>
      </w:r>
      <w:r>
        <w:rPr>
          <w:rFonts w:ascii="Times New Roman" w:hAnsi="Times New Roman" w:cs="Times New Roman"/>
          <w:color w:val="0000FF"/>
          <w:sz w:val="24"/>
          <w:szCs w:val="24"/>
          <w:highlight w:val="white"/>
          <w:u w:val="single"/>
          <w:lang w:val="en"/>
        </w:rPr>
        <w:t>&lt;http://www.aids.gov/federal-resources/around-the-world/global-aids-overview&gt;</w:t>
      </w:r>
      <w:r>
        <w:rPr>
          <w:rFonts w:ascii="Times New Roman" w:hAnsi="Times New Roman" w:cs="Times New Roman"/>
          <w:sz w:val="24"/>
          <w:szCs w:val="24"/>
          <w:highlight w:val="white"/>
          <w:lang w:val="en"/>
        </w:rPr>
        <w:t xml:space="preserve">).  This virus is continuing to spread in the US at an alarming rate, especially among three major racial/ethnic groups. These groups include African-Americans, Latin Americans and Whites. There also larger disparities among these groups, when taking account levels of poverty and urbanization. This article studies the role of poverty and its effects on HIV prevalence among urban levels in the US, specifically within these three racial/ethnic groups. This study </w:t>
      </w:r>
      <w:r w:rsidR="007D2C61">
        <w:rPr>
          <w:rFonts w:ascii="Times New Roman" w:hAnsi="Times New Roman" w:cs="Times New Roman"/>
          <w:sz w:val="24"/>
          <w:szCs w:val="24"/>
          <w:highlight w:val="white"/>
          <w:lang w:val="en"/>
        </w:rPr>
        <w:t xml:space="preserve">took data form HIV surveillance data, </w:t>
      </w:r>
      <w:r>
        <w:rPr>
          <w:rFonts w:ascii="Times New Roman" w:hAnsi="Times New Roman" w:cs="Times New Roman"/>
          <w:sz w:val="24"/>
          <w:szCs w:val="24"/>
          <w:highlight w:val="white"/>
          <w:lang w:val="en"/>
        </w:rPr>
        <w:t xml:space="preserve">state departments of health, the Center for Disease Control and Prevention and the 2009 US census. Even though this study only focuses on data from 2009 and did not include non-urban areas in their research, there were significant results in correlation to urban areas with lower poverty levels and greater disparities of HIV prevalence among African Americans. </w:t>
      </w:r>
    </w:p>
    <w:p w14:paraId="02DB9483" w14:textId="77777777" w:rsidR="00CF3EAD" w:rsidRPr="00CF3EAD" w:rsidRDefault="00462066" w:rsidP="00462066">
      <w:pPr>
        <w:rPr>
          <w:rFonts w:ascii="Times New Roman" w:hAnsi="Times New Roman" w:cs="Times New Roman"/>
          <w:b/>
          <w:sz w:val="24"/>
          <w:szCs w:val="24"/>
          <w:lang w:val="en"/>
        </w:rPr>
      </w:pPr>
      <w:r>
        <w:rPr>
          <w:rFonts w:ascii="Times New Roman" w:hAnsi="Times New Roman" w:cs="Times New Roman"/>
          <w:sz w:val="24"/>
          <w:szCs w:val="24"/>
          <w:highlight w:val="white"/>
          <w:lang w:val="en"/>
        </w:rPr>
        <w:t xml:space="preserve">            </w:t>
      </w:r>
    </w:p>
    <w:p w14:paraId="3CDD2461" w14:textId="77777777" w:rsidR="00CF3EAD" w:rsidRDefault="00CF3EAD">
      <w:pPr>
        <w:rPr>
          <w:rFonts w:ascii="Times New Roman" w:hAnsi="Times New Roman" w:cs="Times New Roman"/>
          <w:b/>
          <w:sz w:val="24"/>
          <w:szCs w:val="24"/>
          <w:lang w:val="en"/>
        </w:rPr>
      </w:pPr>
    </w:p>
    <w:p w14:paraId="0AC97F53" w14:textId="77777777" w:rsidR="008651E5" w:rsidRDefault="002A0546">
      <w:pPr>
        <w:rPr>
          <w:rFonts w:ascii="Times New Roman" w:hAnsi="Times New Roman" w:cs="Times New Roman"/>
          <w:b/>
          <w:sz w:val="24"/>
          <w:szCs w:val="24"/>
          <w:lang w:val="en"/>
        </w:rPr>
      </w:pPr>
      <w:r>
        <w:rPr>
          <w:rFonts w:ascii="Times New Roman" w:hAnsi="Times New Roman" w:cs="Times New Roman"/>
          <w:b/>
          <w:sz w:val="24"/>
          <w:szCs w:val="24"/>
          <w:lang w:val="en"/>
        </w:rPr>
        <w:t xml:space="preserve">S. </w:t>
      </w:r>
      <w:r w:rsidR="00CF3EAD" w:rsidRPr="00CF3EAD">
        <w:rPr>
          <w:rFonts w:ascii="Times New Roman" w:hAnsi="Times New Roman" w:cs="Times New Roman"/>
          <w:b/>
          <w:sz w:val="24"/>
          <w:szCs w:val="24"/>
          <w:lang w:val="en"/>
        </w:rPr>
        <w:t>Woolf, Steven H,M.D., M.P.H., Jones, Resa M,</w:t>
      </w:r>
      <w:r w:rsidR="0031010E">
        <w:rPr>
          <w:rFonts w:ascii="Times New Roman" w:hAnsi="Times New Roman" w:cs="Times New Roman"/>
          <w:b/>
          <w:sz w:val="24"/>
          <w:szCs w:val="24"/>
          <w:lang w:val="en"/>
        </w:rPr>
        <w:t xml:space="preserve"> </w:t>
      </w:r>
      <w:r w:rsidR="00CF3EAD" w:rsidRPr="00CF3EAD">
        <w:rPr>
          <w:rFonts w:ascii="Times New Roman" w:hAnsi="Times New Roman" w:cs="Times New Roman"/>
          <w:b/>
          <w:sz w:val="24"/>
          <w:szCs w:val="24"/>
          <w:lang w:val="en"/>
        </w:rPr>
        <w:t>PhD., M.P.H., Johnson, R. E., PhD., Phillips, Robert L, Jr,</w:t>
      </w:r>
      <w:r w:rsidR="0031010E">
        <w:rPr>
          <w:rFonts w:ascii="Times New Roman" w:hAnsi="Times New Roman" w:cs="Times New Roman"/>
          <w:b/>
          <w:sz w:val="24"/>
          <w:szCs w:val="24"/>
          <w:lang w:val="en"/>
        </w:rPr>
        <w:t xml:space="preserve"> </w:t>
      </w:r>
      <w:r w:rsidR="00CF3EAD" w:rsidRPr="00CF3EAD">
        <w:rPr>
          <w:rFonts w:ascii="Times New Roman" w:hAnsi="Times New Roman" w:cs="Times New Roman"/>
          <w:b/>
          <w:sz w:val="24"/>
          <w:szCs w:val="24"/>
          <w:lang w:val="en"/>
        </w:rPr>
        <w:t>M.D., M.S.P.H., Oliver, M. N., Bazemore, Andrew,</w:t>
      </w:r>
      <w:r w:rsidR="0031010E">
        <w:rPr>
          <w:rFonts w:ascii="Times New Roman" w:hAnsi="Times New Roman" w:cs="Times New Roman"/>
          <w:b/>
          <w:sz w:val="24"/>
          <w:szCs w:val="24"/>
          <w:lang w:val="en"/>
        </w:rPr>
        <w:t xml:space="preserve"> </w:t>
      </w:r>
      <w:r w:rsidR="00CF3EAD" w:rsidRPr="00CF3EAD">
        <w:rPr>
          <w:rFonts w:ascii="Times New Roman" w:hAnsi="Times New Roman" w:cs="Times New Roman"/>
          <w:b/>
          <w:sz w:val="24"/>
          <w:szCs w:val="24"/>
          <w:lang w:val="en"/>
        </w:rPr>
        <w:t>M.D., M.P.H., &amp; Vichare, A., M.P.H. (2010). Avertable deaths associated with household income in Virginia.</w:t>
      </w:r>
      <w:r w:rsidR="00CF3EAD" w:rsidRPr="00CF3EAD">
        <w:rPr>
          <w:rFonts w:ascii="Times New Roman" w:hAnsi="Times New Roman" w:cs="Times New Roman"/>
          <w:b/>
          <w:i/>
          <w:iCs/>
          <w:sz w:val="24"/>
          <w:szCs w:val="24"/>
          <w:lang w:val="en"/>
        </w:rPr>
        <w:t xml:space="preserve"> American </w:t>
      </w:r>
      <w:r w:rsidR="00CF3EAD" w:rsidRPr="00CF3EAD">
        <w:rPr>
          <w:rFonts w:ascii="Times New Roman" w:hAnsi="Times New Roman" w:cs="Times New Roman"/>
          <w:b/>
          <w:iCs/>
          <w:sz w:val="24"/>
          <w:szCs w:val="24"/>
          <w:lang w:val="en"/>
        </w:rPr>
        <w:t>Journal of Public Health</w:t>
      </w:r>
      <w:r w:rsidR="00CF3EAD" w:rsidRPr="00CF3EAD">
        <w:rPr>
          <w:rFonts w:ascii="Times New Roman" w:hAnsi="Times New Roman" w:cs="Times New Roman"/>
          <w:b/>
          <w:i/>
          <w:iCs/>
          <w:sz w:val="24"/>
          <w:szCs w:val="24"/>
          <w:lang w:val="en"/>
        </w:rPr>
        <w:t>, 100</w:t>
      </w:r>
      <w:r w:rsidR="00CF3EAD" w:rsidRPr="00CF3EAD">
        <w:rPr>
          <w:rFonts w:ascii="Times New Roman" w:hAnsi="Times New Roman" w:cs="Times New Roman"/>
          <w:b/>
          <w:sz w:val="24"/>
          <w:szCs w:val="24"/>
          <w:lang w:val="en"/>
        </w:rPr>
        <w:t>(4), 750-5.</w:t>
      </w:r>
    </w:p>
    <w:p w14:paraId="6F2654B6" w14:textId="77777777" w:rsidR="004D5D3F" w:rsidRDefault="0090646B" w:rsidP="0031010E">
      <w:pPr>
        <w:shd w:val="clear" w:color="auto" w:fill="FFFFFF"/>
        <w:spacing w:after="75" w:line="336" w:lineRule="atLeast"/>
        <w:rPr>
          <w:rFonts w:ascii="Times New Roman" w:eastAsia="Times New Roman" w:hAnsi="Times New Roman" w:cs="Times New Roman"/>
          <w:b/>
          <w:sz w:val="24"/>
          <w:szCs w:val="24"/>
          <w:lang w:val="en"/>
        </w:rPr>
      </w:pPr>
      <w:r>
        <w:rPr>
          <w:rFonts w:ascii="Times New Roman" w:hAnsi="Times New Roman" w:cs="Times New Roman"/>
          <w:sz w:val="24"/>
          <w:szCs w:val="24"/>
          <w:highlight w:val="white"/>
          <w:lang w:val="en"/>
        </w:rPr>
        <w:t>As the United States increases its population, the number in minority/ethnic groups have also increased. This population increase results in demographic changes within local state and counties. This eventually poses a problem for goverment agancies who are  unable to provide for low-income ethnic/ racial groups . This article examines low-income house holds and dispa</w:t>
      </w:r>
      <w:r w:rsidR="00453574">
        <w:rPr>
          <w:rFonts w:ascii="Times New Roman" w:hAnsi="Times New Roman" w:cs="Times New Roman"/>
          <w:sz w:val="24"/>
          <w:szCs w:val="24"/>
          <w:highlight w:val="white"/>
          <w:lang w:val="en"/>
        </w:rPr>
        <w:t xml:space="preserve">rities of public resources in corlatiuon </w:t>
      </w:r>
      <w:r>
        <w:rPr>
          <w:rFonts w:ascii="Times New Roman" w:hAnsi="Times New Roman" w:cs="Times New Roman"/>
          <w:sz w:val="24"/>
          <w:szCs w:val="24"/>
          <w:highlight w:val="white"/>
          <w:lang w:val="en"/>
        </w:rPr>
        <w:t xml:space="preserve"> to mortality rates in the State of Virginia. This study caluates on how many </w:t>
      </w:r>
      <w:r>
        <w:rPr>
          <w:rFonts w:ascii="Times New Roman" w:hAnsi="Times New Roman" w:cs="Times New Roman"/>
          <w:sz w:val="24"/>
          <w:szCs w:val="24"/>
          <w:highlight w:val="white"/>
        </w:rPr>
        <w:t xml:space="preserve">deaths would have been avoided if the entire population of Virginia experienced the mortality rates of the 5 most affluent counties or cities? The study used research data from Division of Health Statistics, Virginia Department of Health and the US census for all ‘95 counties of Virginia’ (Steven H. Woolf, </w:t>
      </w:r>
      <w:proofErr w:type="spellStart"/>
      <w:r>
        <w:rPr>
          <w:rFonts w:ascii="Times New Roman" w:hAnsi="Times New Roman" w:cs="Times New Roman"/>
          <w:sz w:val="24"/>
          <w:szCs w:val="24"/>
          <w:highlight w:val="white"/>
        </w:rPr>
        <w:t>Resa</w:t>
      </w:r>
      <w:proofErr w:type="spellEnd"/>
      <w:r>
        <w:rPr>
          <w:rFonts w:ascii="Times New Roman" w:hAnsi="Times New Roman" w:cs="Times New Roman"/>
          <w:sz w:val="24"/>
          <w:szCs w:val="24"/>
          <w:highlight w:val="white"/>
        </w:rPr>
        <w:t xml:space="preserve"> M. Jones, R. E. Johnson, R. L. Phillips Jr, M. Norman Oliver, A. Bazemore, A. </w:t>
      </w:r>
      <w:proofErr w:type="spellStart"/>
      <w:r>
        <w:rPr>
          <w:rFonts w:ascii="Times New Roman" w:hAnsi="Times New Roman" w:cs="Times New Roman"/>
          <w:sz w:val="24"/>
          <w:szCs w:val="24"/>
          <w:highlight w:val="white"/>
        </w:rPr>
        <w:t>Vichare</w:t>
      </w:r>
      <w:proofErr w:type="spellEnd"/>
      <w:r>
        <w:rPr>
          <w:rFonts w:ascii="Times New Roman" w:hAnsi="Times New Roman" w:cs="Times New Roman"/>
          <w:sz w:val="24"/>
          <w:szCs w:val="24"/>
          <w:highlight w:val="white"/>
        </w:rPr>
        <w:t xml:space="preserve">, </w:t>
      </w:r>
      <w:r>
        <w:rPr>
          <w:rFonts w:ascii="Times New Roman" w:hAnsi="Times New Roman" w:cs="Times New Roman"/>
          <w:sz w:val="24"/>
          <w:szCs w:val="24"/>
          <w:highlight w:val="white"/>
          <w:lang w:val="en"/>
        </w:rPr>
        <w:t xml:space="preserve">2010, pg. 750). Though this study only </w:t>
      </w:r>
      <w:r>
        <w:rPr>
          <w:rFonts w:ascii="Times New Roman" w:hAnsi="Times New Roman" w:cs="Times New Roman"/>
          <w:sz w:val="24"/>
          <w:szCs w:val="24"/>
          <w:highlight w:val="white"/>
        </w:rPr>
        <w:t xml:space="preserve">examined data for one state rather the entire ‘country and relied on area-based income rather than individual’; there were substantial results such an estimated   12,954 deaths in some of the most disadvantaged areas of Virginia…would have been averted... if better socioeconomic policies were addressed (Steven H. Woolf, </w:t>
      </w:r>
      <w:proofErr w:type="spellStart"/>
      <w:r>
        <w:rPr>
          <w:rFonts w:ascii="Times New Roman" w:hAnsi="Times New Roman" w:cs="Times New Roman"/>
          <w:sz w:val="24"/>
          <w:szCs w:val="24"/>
          <w:highlight w:val="white"/>
        </w:rPr>
        <w:t>Resa</w:t>
      </w:r>
      <w:proofErr w:type="spellEnd"/>
      <w:r>
        <w:rPr>
          <w:rFonts w:ascii="Times New Roman" w:hAnsi="Times New Roman" w:cs="Times New Roman"/>
          <w:sz w:val="24"/>
          <w:szCs w:val="24"/>
          <w:highlight w:val="white"/>
        </w:rPr>
        <w:t xml:space="preserve"> M. Jones, R. E. Johnson, R. L. Phillips Jr, M. Norman Oliver, A. Bazemore, A. </w:t>
      </w:r>
      <w:proofErr w:type="spellStart"/>
      <w:r>
        <w:rPr>
          <w:rFonts w:ascii="Times New Roman" w:hAnsi="Times New Roman" w:cs="Times New Roman"/>
          <w:sz w:val="24"/>
          <w:szCs w:val="24"/>
          <w:highlight w:val="white"/>
        </w:rPr>
        <w:t>Vichare</w:t>
      </w:r>
      <w:proofErr w:type="spellEnd"/>
      <w:r>
        <w:rPr>
          <w:rFonts w:ascii="Times New Roman" w:hAnsi="Times New Roman" w:cs="Times New Roman"/>
          <w:sz w:val="24"/>
          <w:szCs w:val="24"/>
          <w:highlight w:val="white"/>
        </w:rPr>
        <w:t xml:space="preserve">, </w:t>
      </w:r>
      <w:r>
        <w:rPr>
          <w:rFonts w:ascii="Times New Roman" w:hAnsi="Times New Roman" w:cs="Times New Roman"/>
          <w:sz w:val="24"/>
          <w:szCs w:val="24"/>
          <w:highlight w:val="white"/>
          <w:lang w:val="en"/>
        </w:rPr>
        <w:t>2010, pg. 750)</w:t>
      </w:r>
      <w:r>
        <w:rPr>
          <w:rFonts w:ascii="Times New Roman" w:hAnsi="Times New Roman" w:cs="Times New Roman"/>
          <w:sz w:val="24"/>
          <w:szCs w:val="24"/>
        </w:rPr>
        <w:t xml:space="preserve">. </w:t>
      </w:r>
    </w:p>
    <w:p w14:paraId="2C8CC7D9" w14:textId="77777777" w:rsidR="004D5D3F" w:rsidRDefault="004D5D3F" w:rsidP="0031010E">
      <w:pPr>
        <w:shd w:val="clear" w:color="auto" w:fill="FFFFFF"/>
        <w:spacing w:after="75" w:line="336" w:lineRule="atLeast"/>
        <w:rPr>
          <w:rFonts w:ascii="Times New Roman" w:eastAsia="Times New Roman" w:hAnsi="Times New Roman" w:cs="Times New Roman"/>
          <w:b/>
          <w:sz w:val="24"/>
          <w:szCs w:val="24"/>
          <w:lang w:val="en"/>
        </w:rPr>
      </w:pPr>
    </w:p>
    <w:p w14:paraId="2FDBA1E1" w14:textId="77777777" w:rsidR="004D5D3F" w:rsidRDefault="004D5D3F" w:rsidP="0031010E">
      <w:pPr>
        <w:shd w:val="clear" w:color="auto" w:fill="FFFFFF"/>
        <w:spacing w:after="75" w:line="336" w:lineRule="atLeast"/>
        <w:rPr>
          <w:rFonts w:ascii="Times New Roman" w:eastAsia="Times New Roman" w:hAnsi="Times New Roman" w:cs="Times New Roman"/>
          <w:b/>
          <w:sz w:val="24"/>
          <w:szCs w:val="24"/>
          <w:lang w:val="en"/>
        </w:rPr>
      </w:pPr>
    </w:p>
    <w:p w14:paraId="17DE0A9C" w14:textId="77777777" w:rsidR="004D5D3F" w:rsidRDefault="004D5D3F" w:rsidP="0031010E">
      <w:pPr>
        <w:shd w:val="clear" w:color="auto" w:fill="FFFFFF"/>
        <w:spacing w:after="75" w:line="336" w:lineRule="atLeast"/>
        <w:rPr>
          <w:rFonts w:ascii="Times New Roman" w:eastAsia="Times New Roman" w:hAnsi="Times New Roman" w:cs="Times New Roman"/>
          <w:b/>
          <w:sz w:val="24"/>
          <w:szCs w:val="24"/>
          <w:lang w:val="en"/>
        </w:rPr>
      </w:pPr>
    </w:p>
    <w:p w14:paraId="3C49BC4B" w14:textId="77777777" w:rsidR="0031010E" w:rsidRPr="0031010E" w:rsidRDefault="0031010E" w:rsidP="0031010E">
      <w:pPr>
        <w:shd w:val="clear" w:color="auto" w:fill="FFFFFF"/>
        <w:spacing w:after="75" w:line="336" w:lineRule="atLeast"/>
        <w:rPr>
          <w:rFonts w:ascii="Times New Roman" w:eastAsia="Times New Roman" w:hAnsi="Times New Roman" w:cs="Times New Roman"/>
          <w:b/>
          <w:sz w:val="24"/>
          <w:szCs w:val="24"/>
          <w:lang w:val="en"/>
        </w:rPr>
      </w:pPr>
      <w:r w:rsidRPr="0031010E">
        <w:rPr>
          <w:rFonts w:ascii="Times New Roman" w:eastAsia="Times New Roman" w:hAnsi="Times New Roman" w:cs="Times New Roman"/>
          <w:b/>
          <w:sz w:val="24"/>
          <w:szCs w:val="24"/>
          <w:lang w:val="en"/>
        </w:rPr>
        <w:t>Braveman, Paula A,M.D., M.P.H., Kumanyika, Shiriki,PhD., M.P.H., Fielding, Jonathan, MD, MPH,M.A., M.B.A., LaVeist, T., PhD., Borrell, Luisa N,D.D.S., PhD., Manderscheid, R., PhD., &amp; Troutman, Adewale, MD,M.P.H., M.A. (2011). Health disparities and health equity: The issue is justice.</w:t>
      </w:r>
      <w:r w:rsidRPr="0031010E">
        <w:rPr>
          <w:rFonts w:ascii="Times New Roman" w:eastAsia="Times New Roman" w:hAnsi="Times New Roman" w:cs="Times New Roman"/>
          <w:b/>
          <w:i/>
          <w:iCs/>
          <w:sz w:val="24"/>
          <w:szCs w:val="24"/>
          <w:lang w:val="en"/>
        </w:rPr>
        <w:t xml:space="preserve"> </w:t>
      </w:r>
      <w:r w:rsidRPr="0031010E">
        <w:rPr>
          <w:rFonts w:ascii="Times New Roman" w:eastAsia="Times New Roman" w:hAnsi="Times New Roman" w:cs="Times New Roman"/>
          <w:b/>
          <w:iCs/>
          <w:sz w:val="24"/>
          <w:szCs w:val="24"/>
          <w:lang w:val="en"/>
        </w:rPr>
        <w:t>American Journal of Public Health,</w:t>
      </w:r>
      <w:r w:rsidRPr="0031010E">
        <w:rPr>
          <w:rFonts w:ascii="Times New Roman" w:eastAsia="Times New Roman" w:hAnsi="Times New Roman" w:cs="Times New Roman"/>
          <w:b/>
          <w:i/>
          <w:iCs/>
          <w:sz w:val="24"/>
          <w:szCs w:val="24"/>
          <w:lang w:val="en"/>
        </w:rPr>
        <w:t xml:space="preserve"> 101</w:t>
      </w:r>
      <w:r w:rsidRPr="00542D20">
        <w:rPr>
          <w:rFonts w:ascii="Times New Roman" w:eastAsia="Times New Roman" w:hAnsi="Times New Roman" w:cs="Times New Roman"/>
          <w:b/>
          <w:sz w:val="24"/>
          <w:szCs w:val="24"/>
          <w:lang w:val="en"/>
        </w:rPr>
        <w:t>,</w:t>
      </w:r>
      <w:r w:rsidRPr="0031010E">
        <w:rPr>
          <w:rFonts w:ascii="Times New Roman" w:eastAsia="Times New Roman" w:hAnsi="Times New Roman" w:cs="Times New Roman"/>
          <w:b/>
          <w:sz w:val="24"/>
          <w:szCs w:val="24"/>
          <w:lang w:val="en"/>
        </w:rPr>
        <w:t xml:space="preserve">149-55. </w:t>
      </w:r>
    </w:p>
    <w:p w14:paraId="73C956DE" w14:textId="77777777" w:rsidR="00453574" w:rsidRPr="00453574" w:rsidRDefault="00453574" w:rsidP="00453574">
      <w:pPr>
        <w:shd w:val="clear" w:color="auto" w:fill="FFFFFF"/>
        <w:spacing w:after="75" w:line="240" w:lineRule="auto"/>
        <w:rPr>
          <w:rFonts w:ascii="Times New Roman" w:hAnsi="Times New Roman" w:cs="Times New Roman"/>
          <w:bCs/>
          <w:sz w:val="24"/>
          <w:szCs w:val="24"/>
          <w:lang w:val="en"/>
        </w:rPr>
      </w:pPr>
      <w:r w:rsidRPr="00453574">
        <w:rPr>
          <w:rFonts w:ascii="Times New Roman" w:hAnsi="Times New Roman" w:cs="Times New Roman"/>
          <w:sz w:val="24"/>
          <w:szCs w:val="24"/>
          <w:highlight w:val="white"/>
        </w:rPr>
        <w:t>The issue of quality health and health care in the United States has always been a topic of discussion and concern in American politics. The creation of a government program called Healthy People 2020 was designed to close the gap in health disparities and</w:t>
      </w:r>
      <w:r w:rsidR="00AB671B">
        <w:rPr>
          <w:rFonts w:ascii="Times New Roman" w:hAnsi="Times New Roman" w:cs="Times New Roman"/>
          <w:sz w:val="24"/>
          <w:szCs w:val="24"/>
          <w:highlight w:val="white"/>
        </w:rPr>
        <w:t xml:space="preserve"> lead </w:t>
      </w:r>
      <w:r w:rsidRPr="00453574">
        <w:rPr>
          <w:rFonts w:ascii="Times New Roman" w:hAnsi="Times New Roman" w:cs="Times New Roman"/>
          <w:sz w:val="24"/>
          <w:szCs w:val="24"/>
          <w:highlight w:val="white"/>
        </w:rPr>
        <w:t>more Americans towards a better quality of health. Unfortunately, this program has not been able to move forward, due to the broad definition of health disparities. The authors' clarify this definition based on the US subcommittee meeting of Healthy</w:t>
      </w:r>
      <w:r w:rsidR="00AB671B">
        <w:rPr>
          <w:rFonts w:ascii="Times New Roman" w:hAnsi="Times New Roman" w:cs="Times New Roman"/>
          <w:sz w:val="24"/>
          <w:szCs w:val="24"/>
          <w:highlight w:val="white"/>
        </w:rPr>
        <w:t xml:space="preserve"> People 2020, which states to “</w:t>
      </w:r>
      <w:r w:rsidRPr="00453574">
        <w:rPr>
          <w:rFonts w:ascii="Times New Roman" w:hAnsi="Times New Roman" w:cs="Times New Roman"/>
          <w:sz w:val="24"/>
          <w:szCs w:val="24"/>
          <w:highlight w:val="white"/>
          <w:lang w:val="en"/>
        </w:rPr>
        <w:t>propose an operational definition for use in developing objectives and targets, determining resource allocation priorities, and assessing progress”</w:t>
      </w:r>
      <w:r w:rsidRPr="00453574">
        <w:rPr>
          <w:rFonts w:ascii="Times New Roman" w:hAnsi="Times New Roman" w:cs="Times New Roman"/>
          <w:bCs/>
          <w:sz w:val="24"/>
          <w:szCs w:val="24"/>
          <w:highlight w:val="white"/>
          <w:lang w:val="en"/>
        </w:rPr>
        <w:t xml:space="preserve"> (</w:t>
      </w:r>
      <w:r w:rsidR="00AB671B">
        <w:rPr>
          <w:rFonts w:ascii="Times New Roman" w:hAnsi="Times New Roman" w:cs="Times New Roman"/>
          <w:bCs/>
          <w:sz w:val="24"/>
          <w:szCs w:val="24"/>
          <w:highlight w:val="white"/>
          <w:lang w:val="en"/>
        </w:rPr>
        <w:t>P. A. Braveman, S. Kumanyika, J</w:t>
      </w:r>
      <w:r w:rsidRPr="00453574">
        <w:rPr>
          <w:rFonts w:ascii="Times New Roman" w:hAnsi="Times New Roman" w:cs="Times New Roman"/>
          <w:bCs/>
          <w:sz w:val="24"/>
          <w:szCs w:val="24"/>
          <w:highlight w:val="white"/>
          <w:lang w:val="en"/>
        </w:rPr>
        <w:t>.</w:t>
      </w:r>
      <w:r w:rsidR="00AB671B">
        <w:rPr>
          <w:rFonts w:ascii="Times New Roman" w:hAnsi="Times New Roman" w:cs="Times New Roman"/>
          <w:bCs/>
          <w:sz w:val="24"/>
          <w:szCs w:val="24"/>
          <w:highlight w:val="white"/>
          <w:lang w:val="en"/>
        </w:rPr>
        <w:t xml:space="preserve"> Fielding, T. LaVeist, L. N. Borrell</w:t>
      </w:r>
      <w:r w:rsidRPr="00453574">
        <w:rPr>
          <w:rFonts w:ascii="Times New Roman" w:hAnsi="Times New Roman" w:cs="Times New Roman"/>
          <w:bCs/>
          <w:sz w:val="24"/>
          <w:szCs w:val="24"/>
          <w:highlight w:val="white"/>
          <w:lang w:val="en"/>
        </w:rPr>
        <w:t>, R. Manderscheid, A. Troutman, 2011, pg. 145).</w:t>
      </w:r>
      <w:r w:rsidRPr="00453574">
        <w:rPr>
          <w:rFonts w:ascii="Times New Roman" w:hAnsi="Times New Roman" w:cs="Times New Roman"/>
          <w:sz w:val="24"/>
          <w:szCs w:val="24"/>
          <w:highlight w:val="white"/>
        </w:rPr>
        <w:t xml:space="preserve"> </w:t>
      </w:r>
      <w:r w:rsidRPr="00453574">
        <w:rPr>
          <w:rFonts w:ascii="Times New Roman" w:hAnsi="Times New Roman" w:cs="Times New Roman"/>
          <w:sz w:val="24"/>
          <w:szCs w:val="24"/>
          <w:highlight w:val="white"/>
          <w:lang w:val="en"/>
        </w:rPr>
        <w:t>While this study proposes that health disparities are systematic, they are cautious in correlating these health disparities with people who are socially disadvantaged. They believe that making this kind of inference broadens the definition of health disparities to larger groups of people and further limits funding to ethnic/racial minorities who severely suffer health disparities.</w:t>
      </w:r>
      <w:r w:rsidRPr="00453574">
        <w:rPr>
          <w:rFonts w:ascii="Times New Roman" w:hAnsi="Times New Roman" w:cs="Times New Roman"/>
          <w:sz w:val="24"/>
          <w:szCs w:val="24"/>
          <w:highlight w:val="white"/>
        </w:rPr>
        <w:t xml:space="preserve"> This study tries narrowing the definition of health disparities to ‘</w:t>
      </w:r>
      <w:r w:rsidRPr="00453574">
        <w:rPr>
          <w:rFonts w:ascii="Times New Roman" w:hAnsi="Times New Roman" w:cs="Times New Roman"/>
          <w:sz w:val="24"/>
          <w:szCs w:val="24"/>
          <w:highlight w:val="white"/>
          <w:lang w:val="en"/>
        </w:rPr>
        <w:t>allow medical health professionals to be more effective in reducing disparities and advocating for social policies for ethnic/racial minorities</w:t>
      </w:r>
      <w:r w:rsidRPr="00453574">
        <w:rPr>
          <w:rFonts w:ascii="Times New Roman" w:hAnsi="Times New Roman" w:cs="Times New Roman"/>
          <w:bCs/>
          <w:sz w:val="24"/>
          <w:szCs w:val="24"/>
          <w:highlight w:val="white"/>
          <w:lang w:val="en"/>
        </w:rPr>
        <w:t>.</w:t>
      </w:r>
    </w:p>
    <w:p w14:paraId="0E1689BF" w14:textId="77777777" w:rsidR="00453574" w:rsidRDefault="00453574" w:rsidP="00757D2C">
      <w:pPr>
        <w:shd w:val="clear" w:color="auto" w:fill="FFFFFF"/>
        <w:spacing w:after="75" w:line="336" w:lineRule="atLeast"/>
        <w:rPr>
          <w:rFonts w:ascii="Times New Roman" w:hAnsi="Times New Roman" w:cs="Times New Roman"/>
          <w:b/>
          <w:bCs/>
          <w:sz w:val="24"/>
          <w:szCs w:val="24"/>
          <w:lang w:val="en"/>
        </w:rPr>
      </w:pPr>
    </w:p>
    <w:p w14:paraId="11AF2B0C" w14:textId="77777777" w:rsidR="00757D2C" w:rsidRDefault="00757D2C" w:rsidP="00757D2C">
      <w:pPr>
        <w:shd w:val="clear" w:color="auto" w:fill="FFFFFF"/>
        <w:spacing w:after="75" w:line="336" w:lineRule="atLeast"/>
        <w:rPr>
          <w:rFonts w:ascii="Times New Roman" w:eastAsia="Times New Roman" w:hAnsi="Times New Roman" w:cs="Times New Roman"/>
          <w:b/>
          <w:sz w:val="24"/>
          <w:szCs w:val="24"/>
          <w:lang w:val="en"/>
        </w:rPr>
      </w:pPr>
      <w:r w:rsidRPr="00757D2C">
        <w:rPr>
          <w:rFonts w:ascii="Times New Roman" w:eastAsia="Times New Roman" w:hAnsi="Times New Roman" w:cs="Times New Roman"/>
          <w:b/>
          <w:sz w:val="24"/>
          <w:szCs w:val="24"/>
          <w:lang w:val="en"/>
        </w:rPr>
        <w:t xml:space="preserve">Babey, S. H., PhD., Hastert, T. A., M.P.P., Wolstein, J., M.P.P., &amp; Diamant, Allison L,M.D., M.S.H.S. (2010). Income disparities in obesity trends among </w:t>
      </w:r>
      <w:r w:rsidR="00453574" w:rsidRPr="00757D2C">
        <w:rPr>
          <w:rFonts w:ascii="Times New Roman" w:eastAsia="Times New Roman" w:hAnsi="Times New Roman" w:cs="Times New Roman"/>
          <w:b/>
          <w:sz w:val="24"/>
          <w:szCs w:val="24"/>
          <w:lang w:val="en"/>
        </w:rPr>
        <w:t>California</w:t>
      </w:r>
      <w:r w:rsidRPr="00757D2C">
        <w:rPr>
          <w:rFonts w:ascii="Times New Roman" w:eastAsia="Times New Roman" w:hAnsi="Times New Roman" w:cs="Times New Roman"/>
          <w:b/>
          <w:sz w:val="24"/>
          <w:szCs w:val="24"/>
          <w:lang w:val="en"/>
        </w:rPr>
        <w:t xml:space="preserve"> adolescents.</w:t>
      </w:r>
      <w:r w:rsidRPr="00757D2C">
        <w:rPr>
          <w:rFonts w:ascii="Times New Roman" w:eastAsia="Times New Roman" w:hAnsi="Times New Roman" w:cs="Times New Roman"/>
          <w:b/>
          <w:iCs/>
          <w:sz w:val="24"/>
          <w:szCs w:val="24"/>
          <w:lang w:val="en"/>
        </w:rPr>
        <w:t xml:space="preserve"> American Journal of Public Health, 100</w:t>
      </w:r>
      <w:r w:rsidRPr="00757D2C">
        <w:rPr>
          <w:rFonts w:ascii="Times New Roman" w:eastAsia="Times New Roman" w:hAnsi="Times New Roman" w:cs="Times New Roman"/>
          <w:b/>
          <w:sz w:val="24"/>
          <w:szCs w:val="24"/>
          <w:lang w:val="en"/>
        </w:rPr>
        <w:t xml:space="preserve">(11), 2149-55. </w:t>
      </w:r>
    </w:p>
    <w:p w14:paraId="081329DA" w14:textId="77777777" w:rsidR="00E1730C" w:rsidRDefault="00E1730C" w:rsidP="00E1730C">
      <w:pPr>
        <w:autoSpaceDE w:val="0"/>
        <w:autoSpaceDN w:val="0"/>
        <w:adjustRightInd w:val="0"/>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lang w:val="en"/>
        </w:rPr>
        <w:t xml:space="preserve">The United States </w:t>
      </w:r>
      <w:r w:rsidR="00AB671B">
        <w:rPr>
          <w:rFonts w:ascii="Times New Roman" w:hAnsi="Times New Roman" w:cs="Times New Roman"/>
          <w:sz w:val="24"/>
          <w:szCs w:val="24"/>
          <w:highlight w:val="white"/>
          <w:lang w:val="en"/>
        </w:rPr>
        <w:t>is one of the wealthiest, most developed</w:t>
      </w:r>
      <w:r>
        <w:rPr>
          <w:rFonts w:ascii="Times New Roman" w:hAnsi="Times New Roman" w:cs="Times New Roman"/>
          <w:sz w:val="24"/>
          <w:szCs w:val="24"/>
          <w:highlight w:val="white"/>
          <w:lang w:val="en"/>
        </w:rPr>
        <w:t xml:space="preserve"> nations in the world, yet as a nation it struggles to provide quality health to its own citizens, specially the low income youth. This issue has led the US in being one of the most obese populations.  Obesity in the US becomes more problematic when we include adolescents in low-income house-holds.  Studies have suggested national adolescent obesity has stopped rising. This study focuses on </w:t>
      </w:r>
      <w:r>
        <w:rPr>
          <w:rFonts w:ascii="Times New Roman" w:hAnsi="Times New Roman" w:cs="Times New Roman"/>
          <w:sz w:val="24"/>
          <w:szCs w:val="24"/>
          <w:highlight w:val="white"/>
        </w:rPr>
        <w:t xml:space="preserve">income disparities with adolescent obesity and </w:t>
      </w:r>
      <w:r>
        <w:rPr>
          <w:rFonts w:ascii="Times New Roman" w:hAnsi="Times New Roman" w:cs="Times New Roman"/>
          <w:sz w:val="24"/>
          <w:szCs w:val="24"/>
          <w:highlight w:val="white"/>
          <w:lang w:val="en"/>
        </w:rPr>
        <w:t xml:space="preserve">whether </w:t>
      </w:r>
      <w:r>
        <w:rPr>
          <w:rFonts w:ascii="Times New Roman" w:hAnsi="Times New Roman" w:cs="Times New Roman"/>
          <w:sz w:val="24"/>
          <w:szCs w:val="24"/>
          <w:highlight w:val="white"/>
        </w:rPr>
        <w:t xml:space="preserve">trends have increased over the years. </w:t>
      </w:r>
      <w:r>
        <w:rPr>
          <w:rFonts w:ascii="Times New Roman" w:hAnsi="Times New Roman" w:cs="Times New Roman"/>
          <w:sz w:val="24"/>
          <w:szCs w:val="24"/>
          <w:highlight w:val="white"/>
          <w:lang w:val="en"/>
        </w:rPr>
        <w:t xml:space="preserve">The study was conducted by phone interviews through </w:t>
      </w:r>
      <w:r>
        <w:rPr>
          <w:rFonts w:ascii="Times New Roman" w:hAnsi="Times New Roman" w:cs="Times New Roman"/>
          <w:sz w:val="24"/>
          <w:szCs w:val="24"/>
          <w:highlight w:val="white"/>
        </w:rPr>
        <w:t>California Health Interview Survey. This survey was taken from the year 2001 to 2007 and its purpose was to examine disparities in obesity prevalence by family income and gender. Though this study had limitations of self-reported height and weight, declining interview rates over the years, and results based on a single state; it still produced si</w:t>
      </w:r>
      <w:r w:rsidR="00AB671B">
        <w:rPr>
          <w:rFonts w:ascii="Times New Roman" w:hAnsi="Times New Roman" w:cs="Times New Roman"/>
          <w:sz w:val="24"/>
          <w:szCs w:val="24"/>
          <w:highlight w:val="white"/>
        </w:rPr>
        <w:t xml:space="preserve">gnificant data that showed the </w:t>
      </w:r>
      <w:r>
        <w:rPr>
          <w:rFonts w:ascii="Times New Roman" w:hAnsi="Times New Roman" w:cs="Times New Roman"/>
          <w:sz w:val="24"/>
          <w:szCs w:val="24"/>
          <w:highlight w:val="white"/>
        </w:rPr>
        <w:t>“magnitude of the income disparity in obesity prevalence more than double between 2001-2007 when adolescents with family incomes that were below the poverty line… compared with those with family incomes at or above 300% of the federal poverty level”</w:t>
      </w:r>
      <w:r w:rsidR="00AB671B">
        <w:rPr>
          <w:rFonts w:ascii="Times New Roman" w:hAnsi="Times New Roman" w:cs="Times New Roman"/>
          <w:sz w:val="24"/>
          <w:szCs w:val="24"/>
          <w:highlight w:val="white"/>
        </w:rPr>
        <w:t xml:space="preserve"> </w:t>
      </w:r>
      <w:r>
        <w:rPr>
          <w:rFonts w:ascii="Times New Roman" w:hAnsi="Times New Roman" w:cs="Times New Roman"/>
          <w:sz w:val="24"/>
          <w:szCs w:val="24"/>
          <w:highlight w:val="white"/>
        </w:rPr>
        <w:t xml:space="preserve">( </w:t>
      </w:r>
      <w:r>
        <w:rPr>
          <w:rFonts w:ascii="Times New Roman" w:hAnsi="Times New Roman" w:cs="Times New Roman"/>
          <w:sz w:val="24"/>
          <w:szCs w:val="24"/>
          <w:highlight w:val="white"/>
          <w:lang w:val="en"/>
        </w:rPr>
        <w:t xml:space="preserve">S. H Babey, T. A. Hastert, J. Wolstein,  A.L Diamant, 2010 pg. 2151). </w:t>
      </w:r>
      <w:r>
        <w:rPr>
          <w:rFonts w:ascii="Times New Roman" w:hAnsi="Times New Roman" w:cs="Times New Roman"/>
          <w:sz w:val="24"/>
          <w:szCs w:val="24"/>
          <w:highlight w:val="white"/>
        </w:rPr>
        <w:t xml:space="preserve">Other finding in this study showed that obesity rates were higher in </w:t>
      </w:r>
      <w:r w:rsidR="00AB671B">
        <w:rPr>
          <w:rFonts w:ascii="Times New Roman" w:hAnsi="Times New Roman" w:cs="Times New Roman"/>
          <w:sz w:val="24"/>
          <w:szCs w:val="24"/>
          <w:highlight w:val="white"/>
        </w:rPr>
        <w:t>male adolescents vs. and female</w:t>
      </w:r>
      <w:r>
        <w:rPr>
          <w:rFonts w:ascii="Times New Roman" w:hAnsi="Times New Roman" w:cs="Times New Roman"/>
          <w:sz w:val="24"/>
          <w:szCs w:val="24"/>
          <w:highlight w:val="white"/>
        </w:rPr>
        <w:t xml:space="preserve"> adolescents, on all levels income levels. </w:t>
      </w:r>
    </w:p>
    <w:p w14:paraId="62395667" w14:textId="77777777" w:rsidR="00E1730C" w:rsidRDefault="00E1730C" w:rsidP="00E1730C">
      <w:pPr>
        <w:shd w:val="clear" w:color="auto" w:fill="FFFFFF"/>
        <w:autoSpaceDE w:val="0"/>
        <w:autoSpaceDN w:val="0"/>
        <w:adjustRightInd w:val="0"/>
        <w:spacing w:after="75" w:line="336" w:lineRule="atLeast"/>
        <w:rPr>
          <w:rFonts w:ascii="Times New Roman" w:hAnsi="Times New Roman" w:cs="Times New Roman"/>
          <w:b/>
          <w:bCs/>
          <w:sz w:val="24"/>
          <w:szCs w:val="24"/>
          <w:highlight w:val="white"/>
          <w:lang w:val="en"/>
        </w:rPr>
      </w:pPr>
    </w:p>
    <w:p w14:paraId="4CB48ED3" w14:textId="77777777" w:rsidR="00D70029" w:rsidRDefault="00D70029">
      <w:pPr>
        <w:rPr>
          <w:rFonts w:ascii="Times New Roman" w:hAnsi="Times New Roman" w:cs="Times New Roman"/>
          <w:b/>
          <w:sz w:val="24"/>
          <w:szCs w:val="24"/>
        </w:rPr>
      </w:pPr>
    </w:p>
    <w:p w14:paraId="45D81396" w14:textId="77777777" w:rsidR="00D70029" w:rsidRDefault="00D70029">
      <w:pPr>
        <w:rPr>
          <w:rFonts w:ascii="Times New Roman" w:hAnsi="Times New Roman" w:cs="Times New Roman"/>
          <w:b/>
          <w:sz w:val="24"/>
          <w:szCs w:val="24"/>
        </w:rPr>
      </w:pPr>
    </w:p>
    <w:p w14:paraId="0D7440A8" w14:textId="77777777" w:rsidR="00D70029" w:rsidRPr="00D70029" w:rsidRDefault="00DA02BA" w:rsidP="00D70029">
      <w:pPr>
        <w:spacing w:before="100" w:beforeAutospacing="1" w:after="100" w:afterAutospacing="1" w:line="240" w:lineRule="auto"/>
        <w:rPr>
          <w:rFonts w:ascii="Times New Roman" w:hAnsi="Times New Roman" w:cs="Times New Roman"/>
          <w:b/>
        </w:rPr>
      </w:pPr>
      <w:hyperlink r:id="rId7" w:tooltip="Edit this item" w:history="1">
        <w:r w:rsidR="00D70029" w:rsidRPr="00D70029">
          <w:rPr>
            <w:rStyle w:val="Hyperlink"/>
            <w:rFonts w:ascii="Times New Roman" w:hAnsi="Times New Roman" w:cs="Times New Roman"/>
            <w:b/>
            <w:color w:val="auto"/>
            <w:u w:val="none"/>
          </w:rPr>
          <w:t>TEDMED. "What if our healthcare system kept us healthy?." Rebecca Onie:. https://www.ted.com/talks/rebecca_onie_what_if_our_healthcare_system_kept_us_healthy#t-406521 (accessed September 22, 2014).</w:t>
        </w:r>
      </w:hyperlink>
      <w:r w:rsidR="00D70029" w:rsidRPr="00D70029">
        <w:rPr>
          <w:rFonts w:ascii="Times New Roman" w:hAnsi="Times New Roman" w:cs="Times New Roman"/>
          <w:b/>
        </w:rPr>
        <w:t xml:space="preserve"> </w:t>
      </w:r>
    </w:p>
    <w:p w14:paraId="3FE1145E" w14:textId="77777777" w:rsidR="00D70029" w:rsidRPr="0047124C" w:rsidRDefault="0047124C" w:rsidP="0047124C">
      <w:pPr>
        <w:rPr>
          <w:rFonts w:ascii="Times New Roman" w:hAnsi="Times New Roman" w:cs="Times New Roman"/>
          <w:sz w:val="24"/>
          <w:szCs w:val="24"/>
        </w:rPr>
      </w:pPr>
      <w:r>
        <w:rPr>
          <w:rFonts w:ascii="Times New Roman" w:hAnsi="Times New Roman" w:cs="Times New Roman"/>
          <w:sz w:val="24"/>
          <w:szCs w:val="24"/>
          <w:highlight w:val="white"/>
        </w:rPr>
        <w:t xml:space="preserve">The speaker of this TED Talk is named </w:t>
      </w:r>
      <w:r>
        <w:rPr>
          <w:rFonts w:ascii="Times New Roman" w:hAnsi="Times New Roman" w:cs="Times New Roman"/>
          <w:sz w:val="24"/>
          <w:szCs w:val="24"/>
          <w:highlight w:val="white"/>
          <w:lang w:val="en"/>
        </w:rPr>
        <w:t>Rebecca Onie, the founder of a program called Health Leads. This program links patients to basic care and resources, such as food and housing</w:t>
      </w:r>
      <w:r w:rsidR="00AB671B">
        <w:rPr>
          <w:rFonts w:ascii="Times New Roman" w:hAnsi="Times New Roman" w:cs="Times New Roman"/>
          <w:sz w:val="24"/>
          <w:szCs w:val="24"/>
          <w:highlight w:val="white"/>
          <w:lang w:val="en"/>
        </w:rPr>
        <w:t>.  Rebecca explains that health</w:t>
      </w:r>
      <w:r>
        <w:rPr>
          <w:rFonts w:ascii="Times New Roman" w:hAnsi="Times New Roman" w:cs="Times New Roman"/>
          <w:sz w:val="24"/>
          <w:szCs w:val="24"/>
          <w:highlight w:val="white"/>
          <w:lang w:val="en"/>
        </w:rPr>
        <w:t>care in America has always been stru</w:t>
      </w:r>
      <w:r w:rsidR="00AB671B">
        <w:rPr>
          <w:rFonts w:ascii="Times New Roman" w:hAnsi="Times New Roman" w:cs="Times New Roman"/>
          <w:sz w:val="24"/>
          <w:szCs w:val="24"/>
          <w:highlight w:val="white"/>
          <w:lang w:val="en"/>
        </w:rPr>
        <w:t>ctured as a ‘sick care program,’</w:t>
      </w:r>
      <w:r>
        <w:rPr>
          <w:rFonts w:ascii="Times New Roman" w:hAnsi="Times New Roman" w:cs="Times New Roman"/>
          <w:sz w:val="24"/>
          <w:szCs w:val="24"/>
          <w:highlight w:val="white"/>
          <w:lang w:val="en"/>
        </w:rPr>
        <w:t xml:space="preserve"> instead of a health care program. She found Health Leads, as an alternative form of health care to support low-income</w:t>
      </w:r>
      <w:r w:rsidR="003F70EA">
        <w:rPr>
          <w:rFonts w:ascii="Times New Roman" w:hAnsi="Times New Roman" w:cs="Times New Roman"/>
          <w:sz w:val="24"/>
          <w:szCs w:val="24"/>
          <w:highlight w:val="white"/>
          <w:lang w:val="en"/>
        </w:rPr>
        <w:t xml:space="preserve"> families to a healthier life. </w:t>
      </w:r>
      <w:r>
        <w:rPr>
          <w:rFonts w:ascii="Times New Roman" w:hAnsi="Times New Roman" w:cs="Times New Roman"/>
          <w:sz w:val="24"/>
          <w:szCs w:val="24"/>
          <w:highlight w:val="white"/>
          <w:lang w:val="en"/>
        </w:rPr>
        <w:t>The program works with local doctors and nurses that write prescriptions’ to patients' that need nutritious foods and basic resources. This program now provides serves to over 9,000 patients in Boston and New York. This speaker creates a service for the socially disadvantaged in parts of the United States, that government agencies lack to provide and finds ways to create a change in health culture.</w:t>
      </w:r>
    </w:p>
    <w:sectPr w:rsidR="00D70029" w:rsidRPr="004712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00"/>
    <w:family w:val="auto"/>
    <w:pitch w:val="variable"/>
    <w:sig w:usb0="E0002AEF" w:usb1="C0007841"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9008E7"/>
    <w:multiLevelType w:val="multilevel"/>
    <w:tmpl w:val="6AF23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115A2C"/>
    <w:multiLevelType w:val="hybridMultilevel"/>
    <w:tmpl w:val="E132E2E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4F3BFB"/>
    <w:multiLevelType w:val="hybridMultilevel"/>
    <w:tmpl w:val="37868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2326CE"/>
    <w:multiLevelType w:val="hybridMultilevel"/>
    <w:tmpl w:val="EBEE9C9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U2MzU0MjcwNza1NDVT0lEKTi0uzszPAykwrAUAGqk1qCwAAAA="/>
  </w:docVars>
  <w:rsids>
    <w:rsidRoot w:val="009B4ECE"/>
    <w:rsid w:val="00017538"/>
    <w:rsid w:val="00033A58"/>
    <w:rsid w:val="000477F8"/>
    <w:rsid w:val="000627F8"/>
    <w:rsid w:val="000D59F2"/>
    <w:rsid w:val="000E0997"/>
    <w:rsid w:val="000F5FBF"/>
    <w:rsid w:val="00104E82"/>
    <w:rsid w:val="00145E1A"/>
    <w:rsid w:val="00154D35"/>
    <w:rsid w:val="001C426C"/>
    <w:rsid w:val="001C7AC0"/>
    <w:rsid w:val="001D0FA3"/>
    <w:rsid w:val="002275F4"/>
    <w:rsid w:val="002627F9"/>
    <w:rsid w:val="00267D79"/>
    <w:rsid w:val="0027271C"/>
    <w:rsid w:val="00284C66"/>
    <w:rsid w:val="00287568"/>
    <w:rsid w:val="002A0546"/>
    <w:rsid w:val="002A1AAB"/>
    <w:rsid w:val="002A2D91"/>
    <w:rsid w:val="002C514A"/>
    <w:rsid w:val="002D1E76"/>
    <w:rsid w:val="003014E2"/>
    <w:rsid w:val="0031010E"/>
    <w:rsid w:val="00331312"/>
    <w:rsid w:val="003359D5"/>
    <w:rsid w:val="00335F6E"/>
    <w:rsid w:val="00347BE2"/>
    <w:rsid w:val="00351ABF"/>
    <w:rsid w:val="00387ACB"/>
    <w:rsid w:val="003904BC"/>
    <w:rsid w:val="003930C0"/>
    <w:rsid w:val="003A1BDD"/>
    <w:rsid w:val="003A4DB2"/>
    <w:rsid w:val="003D77D2"/>
    <w:rsid w:val="003F42B4"/>
    <w:rsid w:val="003F70EA"/>
    <w:rsid w:val="004528F9"/>
    <w:rsid w:val="00453574"/>
    <w:rsid w:val="00462066"/>
    <w:rsid w:val="0046509D"/>
    <w:rsid w:val="0047124C"/>
    <w:rsid w:val="00494E7F"/>
    <w:rsid w:val="00497E88"/>
    <w:rsid w:val="004D5D3F"/>
    <w:rsid w:val="00530226"/>
    <w:rsid w:val="00534996"/>
    <w:rsid w:val="00542D20"/>
    <w:rsid w:val="00575AE6"/>
    <w:rsid w:val="005812F1"/>
    <w:rsid w:val="005C5C44"/>
    <w:rsid w:val="005F6BB5"/>
    <w:rsid w:val="00611A7F"/>
    <w:rsid w:val="00613077"/>
    <w:rsid w:val="006203F7"/>
    <w:rsid w:val="00631DDD"/>
    <w:rsid w:val="006737FE"/>
    <w:rsid w:val="00683CC8"/>
    <w:rsid w:val="00757D2C"/>
    <w:rsid w:val="00797650"/>
    <w:rsid w:val="007A1209"/>
    <w:rsid w:val="007D2C61"/>
    <w:rsid w:val="007E40C7"/>
    <w:rsid w:val="007E5E6A"/>
    <w:rsid w:val="007E751D"/>
    <w:rsid w:val="007F3C9F"/>
    <w:rsid w:val="00811A3F"/>
    <w:rsid w:val="00812393"/>
    <w:rsid w:val="00831BB2"/>
    <w:rsid w:val="008522D4"/>
    <w:rsid w:val="008651E5"/>
    <w:rsid w:val="008A3212"/>
    <w:rsid w:val="008A66AF"/>
    <w:rsid w:val="008A7759"/>
    <w:rsid w:val="008B0B69"/>
    <w:rsid w:val="008B1E61"/>
    <w:rsid w:val="008E5060"/>
    <w:rsid w:val="0090646B"/>
    <w:rsid w:val="00912778"/>
    <w:rsid w:val="00917738"/>
    <w:rsid w:val="00924750"/>
    <w:rsid w:val="00973682"/>
    <w:rsid w:val="00976DAA"/>
    <w:rsid w:val="0097778C"/>
    <w:rsid w:val="009A19A4"/>
    <w:rsid w:val="009B4ECE"/>
    <w:rsid w:val="009C1D22"/>
    <w:rsid w:val="009E1CEF"/>
    <w:rsid w:val="00A14550"/>
    <w:rsid w:val="00A20E99"/>
    <w:rsid w:val="00A231E2"/>
    <w:rsid w:val="00A62B20"/>
    <w:rsid w:val="00A76621"/>
    <w:rsid w:val="00AB0906"/>
    <w:rsid w:val="00AB255F"/>
    <w:rsid w:val="00AB671B"/>
    <w:rsid w:val="00AD1EEE"/>
    <w:rsid w:val="00AE2881"/>
    <w:rsid w:val="00AF1D07"/>
    <w:rsid w:val="00B21FAC"/>
    <w:rsid w:val="00B255DF"/>
    <w:rsid w:val="00B979F8"/>
    <w:rsid w:val="00BB0683"/>
    <w:rsid w:val="00BB6A9C"/>
    <w:rsid w:val="00BF253C"/>
    <w:rsid w:val="00C03ED1"/>
    <w:rsid w:val="00C0625D"/>
    <w:rsid w:val="00C10660"/>
    <w:rsid w:val="00C41667"/>
    <w:rsid w:val="00C42206"/>
    <w:rsid w:val="00C45090"/>
    <w:rsid w:val="00C53DC1"/>
    <w:rsid w:val="00C65600"/>
    <w:rsid w:val="00C86248"/>
    <w:rsid w:val="00C9691A"/>
    <w:rsid w:val="00CA7153"/>
    <w:rsid w:val="00CC3741"/>
    <w:rsid w:val="00CF193D"/>
    <w:rsid w:val="00CF3EAD"/>
    <w:rsid w:val="00D11194"/>
    <w:rsid w:val="00D17DB0"/>
    <w:rsid w:val="00D40B15"/>
    <w:rsid w:val="00D555A8"/>
    <w:rsid w:val="00D66B1E"/>
    <w:rsid w:val="00D70029"/>
    <w:rsid w:val="00D753CE"/>
    <w:rsid w:val="00D76723"/>
    <w:rsid w:val="00D77845"/>
    <w:rsid w:val="00DA02BA"/>
    <w:rsid w:val="00DE1CB3"/>
    <w:rsid w:val="00DF493D"/>
    <w:rsid w:val="00DF72F9"/>
    <w:rsid w:val="00E01EAB"/>
    <w:rsid w:val="00E1683B"/>
    <w:rsid w:val="00E1730C"/>
    <w:rsid w:val="00E32B5C"/>
    <w:rsid w:val="00E65724"/>
    <w:rsid w:val="00E8478F"/>
    <w:rsid w:val="00EA3B80"/>
    <w:rsid w:val="00EA56E0"/>
    <w:rsid w:val="00EB4F45"/>
    <w:rsid w:val="00F06AA9"/>
    <w:rsid w:val="00F243EB"/>
    <w:rsid w:val="00F31088"/>
    <w:rsid w:val="00F31147"/>
    <w:rsid w:val="00F50337"/>
    <w:rsid w:val="00F871EA"/>
    <w:rsid w:val="00F93F30"/>
    <w:rsid w:val="00FA4B2B"/>
    <w:rsid w:val="00FB05C7"/>
    <w:rsid w:val="00FB1132"/>
    <w:rsid w:val="00FC29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060AA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3A58"/>
    <w:rPr>
      <w:color w:val="0000FF"/>
      <w:u w:val="single"/>
    </w:rPr>
  </w:style>
  <w:style w:type="paragraph" w:styleId="BalloonText">
    <w:name w:val="Balloon Text"/>
    <w:basedOn w:val="Normal"/>
    <w:link w:val="BalloonTextChar"/>
    <w:uiPriority w:val="99"/>
    <w:semiHidden/>
    <w:unhideWhenUsed/>
    <w:rsid w:val="00542D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2D20"/>
    <w:rPr>
      <w:rFonts w:ascii="Tahoma" w:hAnsi="Tahoma" w:cs="Tahoma"/>
      <w:sz w:val="16"/>
      <w:szCs w:val="16"/>
    </w:rPr>
  </w:style>
  <w:style w:type="paragraph" w:styleId="NoSpacing">
    <w:name w:val="No Spacing"/>
    <w:uiPriority w:val="1"/>
    <w:qFormat/>
    <w:rsid w:val="00542D20"/>
    <w:pPr>
      <w:spacing w:after="0" w:line="240" w:lineRule="auto"/>
    </w:pPr>
  </w:style>
  <w:style w:type="paragraph" w:styleId="ListParagraph">
    <w:name w:val="List Paragraph"/>
    <w:basedOn w:val="Normal"/>
    <w:uiPriority w:val="34"/>
    <w:qFormat/>
    <w:rsid w:val="00631D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035699">
      <w:bodyDiv w:val="1"/>
      <w:marLeft w:val="0"/>
      <w:marRight w:val="0"/>
      <w:marTop w:val="0"/>
      <w:marBottom w:val="0"/>
      <w:divBdr>
        <w:top w:val="none" w:sz="0" w:space="0" w:color="auto"/>
        <w:left w:val="none" w:sz="0" w:space="0" w:color="auto"/>
        <w:bottom w:val="none" w:sz="0" w:space="0" w:color="auto"/>
        <w:right w:val="none" w:sz="0" w:space="0" w:color="auto"/>
      </w:divBdr>
      <w:divsChild>
        <w:div w:id="1674603564">
          <w:marLeft w:val="0"/>
          <w:marRight w:val="0"/>
          <w:marTop w:val="0"/>
          <w:marBottom w:val="0"/>
          <w:divBdr>
            <w:top w:val="none" w:sz="0" w:space="0" w:color="auto"/>
            <w:left w:val="none" w:sz="0" w:space="0" w:color="auto"/>
            <w:bottom w:val="none" w:sz="0" w:space="0" w:color="auto"/>
            <w:right w:val="none" w:sz="0" w:space="0" w:color="auto"/>
          </w:divBdr>
        </w:div>
      </w:divsChild>
    </w:div>
    <w:div w:id="294337749">
      <w:bodyDiv w:val="1"/>
      <w:marLeft w:val="0"/>
      <w:marRight w:val="0"/>
      <w:marTop w:val="0"/>
      <w:marBottom w:val="0"/>
      <w:divBdr>
        <w:top w:val="none" w:sz="0" w:space="0" w:color="auto"/>
        <w:left w:val="none" w:sz="0" w:space="0" w:color="auto"/>
        <w:bottom w:val="none" w:sz="0" w:space="0" w:color="auto"/>
        <w:right w:val="none" w:sz="0" w:space="0" w:color="auto"/>
      </w:divBdr>
      <w:divsChild>
        <w:div w:id="449127055">
          <w:marLeft w:val="0"/>
          <w:marRight w:val="0"/>
          <w:marTop w:val="0"/>
          <w:marBottom w:val="0"/>
          <w:divBdr>
            <w:top w:val="none" w:sz="0" w:space="0" w:color="auto"/>
            <w:left w:val="none" w:sz="0" w:space="0" w:color="auto"/>
            <w:bottom w:val="none" w:sz="0" w:space="0" w:color="auto"/>
            <w:right w:val="none" w:sz="0" w:space="0" w:color="auto"/>
          </w:divBdr>
        </w:div>
        <w:div w:id="1610315801">
          <w:marLeft w:val="0"/>
          <w:marRight w:val="0"/>
          <w:marTop w:val="0"/>
          <w:marBottom w:val="0"/>
          <w:divBdr>
            <w:top w:val="none" w:sz="0" w:space="0" w:color="auto"/>
            <w:left w:val="none" w:sz="0" w:space="0" w:color="auto"/>
            <w:bottom w:val="none" w:sz="0" w:space="0" w:color="auto"/>
            <w:right w:val="none" w:sz="0" w:space="0" w:color="auto"/>
          </w:divBdr>
        </w:div>
      </w:divsChild>
    </w:div>
    <w:div w:id="436097459">
      <w:bodyDiv w:val="1"/>
      <w:marLeft w:val="0"/>
      <w:marRight w:val="0"/>
      <w:marTop w:val="0"/>
      <w:marBottom w:val="0"/>
      <w:divBdr>
        <w:top w:val="none" w:sz="0" w:space="0" w:color="auto"/>
        <w:left w:val="none" w:sz="0" w:space="0" w:color="auto"/>
        <w:bottom w:val="none" w:sz="0" w:space="0" w:color="auto"/>
        <w:right w:val="none" w:sz="0" w:space="0" w:color="auto"/>
      </w:divBdr>
      <w:divsChild>
        <w:div w:id="445348176">
          <w:marLeft w:val="0"/>
          <w:marRight w:val="0"/>
          <w:marTop w:val="0"/>
          <w:marBottom w:val="0"/>
          <w:divBdr>
            <w:top w:val="none" w:sz="0" w:space="0" w:color="auto"/>
            <w:left w:val="none" w:sz="0" w:space="0" w:color="auto"/>
            <w:bottom w:val="none" w:sz="0" w:space="0" w:color="auto"/>
            <w:right w:val="none" w:sz="0" w:space="0" w:color="auto"/>
          </w:divBdr>
          <w:divsChild>
            <w:div w:id="693113134">
              <w:marLeft w:val="0"/>
              <w:marRight w:val="0"/>
              <w:marTop w:val="0"/>
              <w:marBottom w:val="0"/>
              <w:divBdr>
                <w:top w:val="single" w:sz="18" w:space="8" w:color="046091"/>
                <w:left w:val="single" w:sz="18" w:space="8" w:color="046091"/>
                <w:bottom w:val="single" w:sz="18" w:space="15" w:color="046091"/>
                <w:right w:val="single" w:sz="18" w:space="8" w:color="046091"/>
              </w:divBdr>
              <w:divsChild>
                <w:div w:id="1862165819">
                  <w:marLeft w:val="0"/>
                  <w:marRight w:val="0"/>
                  <w:marTop w:val="105"/>
                  <w:marBottom w:val="0"/>
                  <w:divBdr>
                    <w:top w:val="none" w:sz="0" w:space="0" w:color="auto"/>
                    <w:left w:val="none" w:sz="0" w:space="0" w:color="auto"/>
                    <w:bottom w:val="none" w:sz="0" w:space="0" w:color="auto"/>
                    <w:right w:val="none" w:sz="0" w:space="0" w:color="auto"/>
                  </w:divBdr>
                  <w:divsChild>
                    <w:div w:id="804734043">
                      <w:marLeft w:val="0"/>
                      <w:marRight w:val="0"/>
                      <w:marTop w:val="0"/>
                      <w:marBottom w:val="0"/>
                      <w:divBdr>
                        <w:top w:val="none" w:sz="0" w:space="0" w:color="auto"/>
                        <w:left w:val="none" w:sz="0" w:space="0" w:color="auto"/>
                        <w:bottom w:val="none" w:sz="0" w:space="0" w:color="auto"/>
                        <w:right w:val="none" w:sz="0" w:space="0" w:color="auto"/>
                      </w:divBdr>
                      <w:divsChild>
                        <w:div w:id="524758467">
                          <w:marLeft w:val="0"/>
                          <w:marRight w:val="0"/>
                          <w:marTop w:val="0"/>
                          <w:marBottom w:val="0"/>
                          <w:divBdr>
                            <w:top w:val="none" w:sz="0" w:space="0" w:color="auto"/>
                            <w:left w:val="none" w:sz="0" w:space="0" w:color="auto"/>
                            <w:bottom w:val="none" w:sz="0" w:space="0" w:color="auto"/>
                            <w:right w:val="none" w:sz="0" w:space="0" w:color="auto"/>
                          </w:divBdr>
                          <w:divsChild>
                            <w:div w:id="1333028615">
                              <w:marLeft w:val="0"/>
                              <w:marRight w:val="0"/>
                              <w:marTop w:val="0"/>
                              <w:marBottom w:val="0"/>
                              <w:divBdr>
                                <w:top w:val="none" w:sz="0" w:space="0" w:color="auto"/>
                                <w:left w:val="none" w:sz="0" w:space="0" w:color="auto"/>
                                <w:bottom w:val="none" w:sz="0" w:space="0" w:color="auto"/>
                                <w:right w:val="none" w:sz="0" w:space="0" w:color="auto"/>
                              </w:divBdr>
                              <w:divsChild>
                                <w:div w:id="1866598419">
                                  <w:marLeft w:val="0"/>
                                  <w:marRight w:val="0"/>
                                  <w:marTop w:val="0"/>
                                  <w:marBottom w:val="0"/>
                                  <w:divBdr>
                                    <w:top w:val="none" w:sz="0" w:space="0" w:color="auto"/>
                                    <w:left w:val="none" w:sz="0" w:space="0" w:color="auto"/>
                                    <w:bottom w:val="none" w:sz="0" w:space="0" w:color="auto"/>
                                    <w:right w:val="none" w:sz="0" w:space="0" w:color="auto"/>
                                  </w:divBdr>
                                  <w:divsChild>
                                    <w:div w:id="1988898095">
                                      <w:marLeft w:val="0"/>
                                      <w:marRight w:val="0"/>
                                      <w:marTop w:val="0"/>
                                      <w:marBottom w:val="0"/>
                                      <w:divBdr>
                                        <w:top w:val="none" w:sz="0" w:space="0" w:color="auto"/>
                                        <w:left w:val="none" w:sz="0" w:space="0" w:color="auto"/>
                                        <w:bottom w:val="none" w:sz="0" w:space="0" w:color="auto"/>
                                        <w:right w:val="none" w:sz="0" w:space="0" w:color="auto"/>
                                      </w:divBdr>
                                      <w:divsChild>
                                        <w:div w:id="34626179">
                                          <w:marLeft w:val="0"/>
                                          <w:marRight w:val="0"/>
                                          <w:marTop w:val="0"/>
                                          <w:marBottom w:val="0"/>
                                          <w:divBdr>
                                            <w:top w:val="none" w:sz="0" w:space="0" w:color="auto"/>
                                            <w:left w:val="none" w:sz="0" w:space="0" w:color="auto"/>
                                            <w:bottom w:val="none" w:sz="0" w:space="0" w:color="auto"/>
                                            <w:right w:val="none" w:sz="0" w:space="0" w:color="auto"/>
                                          </w:divBdr>
                                          <w:divsChild>
                                            <w:div w:id="119687049">
                                              <w:marLeft w:val="0"/>
                                              <w:marRight w:val="0"/>
                                              <w:marTop w:val="100"/>
                                              <w:marBottom w:val="30"/>
                                              <w:divBdr>
                                                <w:top w:val="single" w:sz="6" w:space="0" w:color="CCCCCC"/>
                                                <w:left w:val="single" w:sz="6" w:space="0" w:color="CCCCCC"/>
                                                <w:bottom w:val="single" w:sz="6" w:space="0" w:color="CCCCCC"/>
                                                <w:right w:val="single" w:sz="6" w:space="0" w:color="CCCCCC"/>
                                              </w:divBdr>
                                              <w:divsChild>
                                                <w:div w:id="549924777">
                                                  <w:marLeft w:val="0"/>
                                                  <w:marRight w:val="0"/>
                                                  <w:marTop w:val="0"/>
                                                  <w:marBottom w:val="0"/>
                                                  <w:divBdr>
                                                    <w:top w:val="none" w:sz="0" w:space="0" w:color="auto"/>
                                                    <w:left w:val="none" w:sz="0" w:space="0" w:color="auto"/>
                                                    <w:bottom w:val="none" w:sz="0" w:space="0" w:color="auto"/>
                                                    <w:right w:val="none" w:sz="0" w:space="0" w:color="auto"/>
                                                  </w:divBdr>
                                                  <w:divsChild>
                                                    <w:div w:id="145216328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75073121">
      <w:bodyDiv w:val="1"/>
      <w:marLeft w:val="0"/>
      <w:marRight w:val="0"/>
      <w:marTop w:val="0"/>
      <w:marBottom w:val="0"/>
      <w:divBdr>
        <w:top w:val="none" w:sz="0" w:space="0" w:color="auto"/>
        <w:left w:val="none" w:sz="0" w:space="0" w:color="auto"/>
        <w:bottom w:val="none" w:sz="0" w:space="0" w:color="auto"/>
        <w:right w:val="none" w:sz="0" w:space="0" w:color="auto"/>
      </w:divBdr>
      <w:divsChild>
        <w:div w:id="311101805">
          <w:marLeft w:val="0"/>
          <w:marRight w:val="0"/>
          <w:marTop w:val="0"/>
          <w:marBottom w:val="0"/>
          <w:divBdr>
            <w:top w:val="none" w:sz="0" w:space="0" w:color="auto"/>
            <w:left w:val="none" w:sz="0" w:space="0" w:color="auto"/>
            <w:bottom w:val="none" w:sz="0" w:space="0" w:color="auto"/>
            <w:right w:val="none" w:sz="0" w:space="0" w:color="auto"/>
          </w:divBdr>
          <w:divsChild>
            <w:div w:id="894703194">
              <w:marLeft w:val="0"/>
              <w:marRight w:val="0"/>
              <w:marTop w:val="0"/>
              <w:marBottom w:val="0"/>
              <w:divBdr>
                <w:top w:val="single" w:sz="18" w:space="8" w:color="046091"/>
                <w:left w:val="single" w:sz="18" w:space="8" w:color="046091"/>
                <w:bottom w:val="single" w:sz="18" w:space="15" w:color="046091"/>
                <w:right w:val="single" w:sz="18" w:space="8" w:color="046091"/>
              </w:divBdr>
              <w:divsChild>
                <w:div w:id="894313286">
                  <w:marLeft w:val="0"/>
                  <w:marRight w:val="0"/>
                  <w:marTop w:val="105"/>
                  <w:marBottom w:val="0"/>
                  <w:divBdr>
                    <w:top w:val="none" w:sz="0" w:space="0" w:color="auto"/>
                    <w:left w:val="none" w:sz="0" w:space="0" w:color="auto"/>
                    <w:bottom w:val="none" w:sz="0" w:space="0" w:color="auto"/>
                    <w:right w:val="none" w:sz="0" w:space="0" w:color="auto"/>
                  </w:divBdr>
                  <w:divsChild>
                    <w:div w:id="734426955">
                      <w:marLeft w:val="0"/>
                      <w:marRight w:val="0"/>
                      <w:marTop w:val="0"/>
                      <w:marBottom w:val="0"/>
                      <w:divBdr>
                        <w:top w:val="none" w:sz="0" w:space="0" w:color="auto"/>
                        <w:left w:val="none" w:sz="0" w:space="0" w:color="auto"/>
                        <w:bottom w:val="none" w:sz="0" w:space="0" w:color="auto"/>
                        <w:right w:val="none" w:sz="0" w:space="0" w:color="auto"/>
                      </w:divBdr>
                      <w:divsChild>
                        <w:div w:id="529341456">
                          <w:marLeft w:val="0"/>
                          <w:marRight w:val="0"/>
                          <w:marTop w:val="0"/>
                          <w:marBottom w:val="0"/>
                          <w:divBdr>
                            <w:top w:val="none" w:sz="0" w:space="0" w:color="auto"/>
                            <w:left w:val="none" w:sz="0" w:space="0" w:color="auto"/>
                            <w:bottom w:val="none" w:sz="0" w:space="0" w:color="auto"/>
                            <w:right w:val="none" w:sz="0" w:space="0" w:color="auto"/>
                          </w:divBdr>
                          <w:divsChild>
                            <w:div w:id="1830900085">
                              <w:marLeft w:val="0"/>
                              <w:marRight w:val="0"/>
                              <w:marTop w:val="0"/>
                              <w:marBottom w:val="0"/>
                              <w:divBdr>
                                <w:top w:val="none" w:sz="0" w:space="0" w:color="auto"/>
                                <w:left w:val="none" w:sz="0" w:space="0" w:color="auto"/>
                                <w:bottom w:val="none" w:sz="0" w:space="0" w:color="auto"/>
                                <w:right w:val="none" w:sz="0" w:space="0" w:color="auto"/>
                              </w:divBdr>
                              <w:divsChild>
                                <w:div w:id="918098831">
                                  <w:marLeft w:val="0"/>
                                  <w:marRight w:val="0"/>
                                  <w:marTop w:val="0"/>
                                  <w:marBottom w:val="0"/>
                                  <w:divBdr>
                                    <w:top w:val="none" w:sz="0" w:space="0" w:color="auto"/>
                                    <w:left w:val="none" w:sz="0" w:space="0" w:color="auto"/>
                                    <w:bottom w:val="none" w:sz="0" w:space="0" w:color="auto"/>
                                    <w:right w:val="none" w:sz="0" w:space="0" w:color="auto"/>
                                  </w:divBdr>
                                  <w:divsChild>
                                    <w:div w:id="800198011">
                                      <w:marLeft w:val="0"/>
                                      <w:marRight w:val="0"/>
                                      <w:marTop w:val="0"/>
                                      <w:marBottom w:val="0"/>
                                      <w:divBdr>
                                        <w:top w:val="none" w:sz="0" w:space="0" w:color="auto"/>
                                        <w:left w:val="none" w:sz="0" w:space="0" w:color="auto"/>
                                        <w:bottom w:val="none" w:sz="0" w:space="0" w:color="auto"/>
                                        <w:right w:val="none" w:sz="0" w:space="0" w:color="auto"/>
                                      </w:divBdr>
                                      <w:divsChild>
                                        <w:div w:id="1995601626">
                                          <w:marLeft w:val="0"/>
                                          <w:marRight w:val="0"/>
                                          <w:marTop w:val="0"/>
                                          <w:marBottom w:val="0"/>
                                          <w:divBdr>
                                            <w:top w:val="none" w:sz="0" w:space="0" w:color="auto"/>
                                            <w:left w:val="none" w:sz="0" w:space="0" w:color="auto"/>
                                            <w:bottom w:val="none" w:sz="0" w:space="0" w:color="auto"/>
                                            <w:right w:val="none" w:sz="0" w:space="0" w:color="auto"/>
                                          </w:divBdr>
                                          <w:divsChild>
                                            <w:div w:id="669528531">
                                              <w:marLeft w:val="0"/>
                                              <w:marRight w:val="0"/>
                                              <w:marTop w:val="100"/>
                                              <w:marBottom w:val="30"/>
                                              <w:divBdr>
                                                <w:top w:val="single" w:sz="6" w:space="0" w:color="CCCCCC"/>
                                                <w:left w:val="single" w:sz="6" w:space="0" w:color="CCCCCC"/>
                                                <w:bottom w:val="single" w:sz="6" w:space="0" w:color="CCCCCC"/>
                                                <w:right w:val="single" w:sz="6" w:space="0" w:color="CCCCCC"/>
                                              </w:divBdr>
                                              <w:divsChild>
                                                <w:div w:id="804156385">
                                                  <w:marLeft w:val="0"/>
                                                  <w:marRight w:val="0"/>
                                                  <w:marTop w:val="0"/>
                                                  <w:marBottom w:val="0"/>
                                                  <w:divBdr>
                                                    <w:top w:val="none" w:sz="0" w:space="0" w:color="auto"/>
                                                    <w:left w:val="none" w:sz="0" w:space="0" w:color="auto"/>
                                                    <w:bottom w:val="none" w:sz="0" w:space="0" w:color="auto"/>
                                                    <w:right w:val="none" w:sz="0" w:space="0" w:color="auto"/>
                                                  </w:divBdr>
                                                  <w:divsChild>
                                                    <w:div w:id="210364928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07280091">
      <w:bodyDiv w:val="1"/>
      <w:marLeft w:val="0"/>
      <w:marRight w:val="0"/>
      <w:marTop w:val="0"/>
      <w:marBottom w:val="0"/>
      <w:divBdr>
        <w:top w:val="none" w:sz="0" w:space="0" w:color="auto"/>
        <w:left w:val="none" w:sz="0" w:space="0" w:color="auto"/>
        <w:bottom w:val="none" w:sz="0" w:space="0" w:color="auto"/>
        <w:right w:val="none" w:sz="0" w:space="0" w:color="auto"/>
      </w:divBdr>
      <w:divsChild>
        <w:div w:id="212692810">
          <w:marLeft w:val="0"/>
          <w:marRight w:val="0"/>
          <w:marTop w:val="0"/>
          <w:marBottom w:val="0"/>
          <w:divBdr>
            <w:top w:val="none" w:sz="0" w:space="0" w:color="auto"/>
            <w:left w:val="none" w:sz="0" w:space="0" w:color="auto"/>
            <w:bottom w:val="none" w:sz="0" w:space="0" w:color="auto"/>
            <w:right w:val="none" w:sz="0" w:space="0" w:color="auto"/>
          </w:divBdr>
        </w:div>
        <w:div w:id="75901716">
          <w:marLeft w:val="0"/>
          <w:marRight w:val="0"/>
          <w:marTop w:val="0"/>
          <w:marBottom w:val="0"/>
          <w:divBdr>
            <w:top w:val="none" w:sz="0" w:space="0" w:color="auto"/>
            <w:left w:val="none" w:sz="0" w:space="0" w:color="auto"/>
            <w:bottom w:val="none" w:sz="0" w:space="0" w:color="auto"/>
            <w:right w:val="none" w:sz="0" w:space="0" w:color="auto"/>
          </w:divBdr>
        </w:div>
      </w:divsChild>
    </w:div>
    <w:div w:id="1231506194">
      <w:bodyDiv w:val="1"/>
      <w:marLeft w:val="0"/>
      <w:marRight w:val="0"/>
      <w:marTop w:val="0"/>
      <w:marBottom w:val="0"/>
      <w:divBdr>
        <w:top w:val="none" w:sz="0" w:space="0" w:color="auto"/>
        <w:left w:val="none" w:sz="0" w:space="0" w:color="auto"/>
        <w:bottom w:val="none" w:sz="0" w:space="0" w:color="auto"/>
        <w:right w:val="none" w:sz="0" w:space="0" w:color="auto"/>
      </w:divBdr>
      <w:divsChild>
        <w:div w:id="1511606005">
          <w:marLeft w:val="0"/>
          <w:marRight w:val="0"/>
          <w:marTop w:val="0"/>
          <w:marBottom w:val="0"/>
          <w:divBdr>
            <w:top w:val="none" w:sz="0" w:space="0" w:color="auto"/>
            <w:left w:val="none" w:sz="0" w:space="0" w:color="auto"/>
            <w:bottom w:val="none" w:sz="0" w:space="0" w:color="auto"/>
            <w:right w:val="none" w:sz="0" w:space="0" w:color="auto"/>
          </w:divBdr>
          <w:divsChild>
            <w:div w:id="40131156">
              <w:marLeft w:val="0"/>
              <w:marRight w:val="0"/>
              <w:marTop w:val="0"/>
              <w:marBottom w:val="0"/>
              <w:divBdr>
                <w:top w:val="single" w:sz="18" w:space="8" w:color="046091"/>
                <w:left w:val="single" w:sz="18" w:space="8" w:color="046091"/>
                <w:bottom w:val="single" w:sz="18" w:space="15" w:color="046091"/>
                <w:right w:val="single" w:sz="18" w:space="8" w:color="046091"/>
              </w:divBdr>
              <w:divsChild>
                <w:div w:id="1477843990">
                  <w:marLeft w:val="0"/>
                  <w:marRight w:val="0"/>
                  <w:marTop w:val="105"/>
                  <w:marBottom w:val="0"/>
                  <w:divBdr>
                    <w:top w:val="none" w:sz="0" w:space="0" w:color="auto"/>
                    <w:left w:val="none" w:sz="0" w:space="0" w:color="auto"/>
                    <w:bottom w:val="none" w:sz="0" w:space="0" w:color="auto"/>
                    <w:right w:val="none" w:sz="0" w:space="0" w:color="auto"/>
                  </w:divBdr>
                  <w:divsChild>
                    <w:div w:id="1212232606">
                      <w:marLeft w:val="0"/>
                      <w:marRight w:val="0"/>
                      <w:marTop w:val="0"/>
                      <w:marBottom w:val="0"/>
                      <w:divBdr>
                        <w:top w:val="none" w:sz="0" w:space="0" w:color="auto"/>
                        <w:left w:val="none" w:sz="0" w:space="0" w:color="auto"/>
                        <w:bottom w:val="none" w:sz="0" w:space="0" w:color="auto"/>
                        <w:right w:val="none" w:sz="0" w:space="0" w:color="auto"/>
                      </w:divBdr>
                      <w:divsChild>
                        <w:div w:id="737284920">
                          <w:marLeft w:val="0"/>
                          <w:marRight w:val="0"/>
                          <w:marTop w:val="0"/>
                          <w:marBottom w:val="0"/>
                          <w:divBdr>
                            <w:top w:val="none" w:sz="0" w:space="0" w:color="auto"/>
                            <w:left w:val="none" w:sz="0" w:space="0" w:color="auto"/>
                            <w:bottom w:val="none" w:sz="0" w:space="0" w:color="auto"/>
                            <w:right w:val="none" w:sz="0" w:space="0" w:color="auto"/>
                          </w:divBdr>
                          <w:divsChild>
                            <w:div w:id="1120804230">
                              <w:marLeft w:val="0"/>
                              <w:marRight w:val="0"/>
                              <w:marTop w:val="0"/>
                              <w:marBottom w:val="0"/>
                              <w:divBdr>
                                <w:top w:val="none" w:sz="0" w:space="0" w:color="auto"/>
                                <w:left w:val="none" w:sz="0" w:space="0" w:color="auto"/>
                                <w:bottom w:val="none" w:sz="0" w:space="0" w:color="auto"/>
                                <w:right w:val="none" w:sz="0" w:space="0" w:color="auto"/>
                              </w:divBdr>
                              <w:divsChild>
                                <w:div w:id="742609797">
                                  <w:marLeft w:val="0"/>
                                  <w:marRight w:val="0"/>
                                  <w:marTop w:val="0"/>
                                  <w:marBottom w:val="0"/>
                                  <w:divBdr>
                                    <w:top w:val="none" w:sz="0" w:space="0" w:color="auto"/>
                                    <w:left w:val="none" w:sz="0" w:space="0" w:color="auto"/>
                                    <w:bottom w:val="none" w:sz="0" w:space="0" w:color="auto"/>
                                    <w:right w:val="none" w:sz="0" w:space="0" w:color="auto"/>
                                  </w:divBdr>
                                  <w:divsChild>
                                    <w:div w:id="489716115">
                                      <w:marLeft w:val="0"/>
                                      <w:marRight w:val="0"/>
                                      <w:marTop w:val="0"/>
                                      <w:marBottom w:val="0"/>
                                      <w:divBdr>
                                        <w:top w:val="none" w:sz="0" w:space="0" w:color="auto"/>
                                        <w:left w:val="none" w:sz="0" w:space="0" w:color="auto"/>
                                        <w:bottom w:val="none" w:sz="0" w:space="0" w:color="auto"/>
                                        <w:right w:val="none" w:sz="0" w:space="0" w:color="auto"/>
                                      </w:divBdr>
                                      <w:divsChild>
                                        <w:div w:id="354964226">
                                          <w:marLeft w:val="0"/>
                                          <w:marRight w:val="0"/>
                                          <w:marTop w:val="0"/>
                                          <w:marBottom w:val="0"/>
                                          <w:divBdr>
                                            <w:top w:val="none" w:sz="0" w:space="0" w:color="auto"/>
                                            <w:left w:val="none" w:sz="0" w:space="0" w:color="auto"/>
                                            <w:bottom w:val="none" w:sz="0" w:space="0" w:color="auto"/>
                                            <w:right w:val="none" w:sz="0" w:space="0" w:color="auto"/>
                                          </w:divBdr>
                                          <w:divsChild>
                                            <w:div w:id="981229732">
                                              <w:marLeft w:val="0"/>
                                              <w:marRight w:val="0"/>
                                              <w:marTop w:val="100"/>
                                              <w:marBottom w:val="30"/>
                                              <w:divBdr>
                                                <w:top w:val="single" w:sz="6" w:space="0" w:color="CCCCCC"/>
                                                <w:left w:val="single" w:sz="6" w:space="0" w:color="CCCCCC"/>
                                                <w:bottom w:val="single" w:sz="6" w:space="0" w:color="CCCCCC"/>
                                                <w:right w:val="single" w:sz="6" w:space="0" w:color="CCCCCC"/>
                                              </w:divBdr>
                                              <w:divsChild>
                                                <w:div w:id="363675220">
                                                  <w:marLeft w:val="0"/>
                                                  <w:marRight w:val="0"/>
                                                  <w:marTop w:val="0"/>
                                                  <w:marBottom w:val="0"/>
                                                  <w:divBdr>
                                                    <w:top w:val="none" w:sz="0" w:space="0" w:color="auto"/>
                                                    <w:left w:val="none" w:sz="0" w:space="0" w:color="auto"/>
                                                    <w:bottom w:val="none" w:sz="0" w:space="0" w:color="auto"/>
                                                    <w:right w:val="none" w:sz="0" w:space="0" w:color="auto"/>
                                                  </w:divBdr>
                                                  <w:divsChild>
                                                    <w:div w:id="1841503381">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4304358">
      <w:bodyDiv w:val="1"/>
      <w:marLeft w:val="0"/>
      <w:marRight w:val="0"/>
      <w:marTop w:val="0"/>
      <w:marBottom w:val="0"/>
      <w:divBdr>
        <w:top w:val="none" w:sz="0" w:space="0" w:color="auto"/>
        <w:left w:val="none" w:sz="0" w:space="0" w:color="auto"/>
        <w:bottom w:val="none" w:sz="0" w:space="0" w:color="auto"/>
        <w:right w:val="none" w:sz="0" w:space="0" w:color="auto"/>
      </w:divBdr>
      <w:divsChild>
        <w:div w:id="235627636">
          <w:marLeft w:val="0"/>
          <w:marRight w:val="0"/>
          <w:marTop w:val="0"/>
          <w:marBottom w:val="0"/>
          <w:divBdr>
            <w:top w:val="none" w:sz="0" w:space="0" w:color="auto"/>
            <w:left w:val="none" w:sz="0" w:space="0" w:color="auto"/>
            <w:bottom w:val="none" w:sz="0" w:space="0" w:color="auto"/>
            <w:right w:val="none" w:sz="0" w:space="0" w:color="auto"/>
          </w:divBdr>
          <w:divsChild>
            <w:div w:id="1570188678">
              <w:marLeft w:val="0"/>
              <w:marRight w:val="0"/>
              <w:marTop w:val="0"/>
              <w:marBottom w:val="0"/>
              <w:divBdr>
                <w:top w:val="single" w:sz="18" w:space="8" w:color="046091"/>
                <w:left w:val="single" w:sz="18" w:space="8" w:color="046091"/>
                <w:bottom w:val="single" w:sz="18" w:space="15" w:color="046091"/>
                <w:right w:val="single" w:sz="18" w:space="8" w:color="046091"/>
              </w:divBdr>
              <w:divsChild>
                <w:div w:id="627972364">
                  <w:marLeft w:val="0"/>
                  <w:marRight w:val="0"/>
                  <w:marTop w:val="105"/>
                  <w:marBottom w:val="0"/>
                  <w:divBdr>
                    <w:top w:val="none" w:sz="0" w:space="0" w:color="auto"/>
                    <w:left w:val="none" w:sz="0" w:space="0" w:color="auto"/>
                    <w:bottom w:val="none" w:sz="0" w:space="0" w:color="auto"/>
                    <w:right w:val="none" w:sz="0" w:space="0" w:color="auto"/>
                  </w:divBdr>
                  <w:divsChild>
                    <w:div w:id="1999454640">
                      <w:marLeft w:val="0"/>
                      <w:marRight w:val="0"/>
                      <w:marTop w:val="0"/>
                      <w:marBottom w:val="0"/>
                      <w:divBdr>
                        <w:top w:val="none" w:sz="0" w:space="0" w:color="auto"/>
                        <w:left w:val="none" w:sz="0" w:space="0" w:color="auto"/>
                        <w:bottom w:val="none" w:sz="0" w:space="0" w:color="auto"/>
                        <w:right w:val="none" w:sz="0" w:space="0" w:color="auto"/>
                      </w:divBdr>
                      <w:divsChild>
                        <w:div w:id="171845081">
                          <w:marLeft w:val="0"/>
                          <w:marRight w:val="0"/>
                          <w:marTop w:val="0"/>
                          <w:marBottom w:val="0"/>
                          <w:divBdr>
                            <w:top w:val="none" w:sz="0" w:space="0" w:color="auto"/>
                            <w:left w:val="none" w:sz="0" w:space="0" w:color="auto"/>
                            <w:bottom w:val="none" w:sz="0" w:space="0" w:color="auto"/>
                            <w:right w:val="none" w:sz="0" w:space="0" w:color="auto"/>
                          </w:divBdr>
                          <w:divsChild>
                            <w:div w:id="1745293290">
                              <w:marLeft w:val="0"/>
                              <w:marRight w:val="0"/>
                              <w:marTop w:val="0"/>
                              <w:marBottom w:val="0"/>
                              <w:divBdr>
                                <w:top w:val="none" w:sz="0" w:space="0" w:color="auto"/>
                                <w:left w:val="none" w:sz="0" w:space="0" w:color="auto"/>
                                <w:bottom w:val="none" w:sz="0" w:space="0" w:color="auto"/>
                                <w:right w:val="none" w:sz="0" w:space="0" w:color="auto"/>
                              </w:divBdr>
                              <w:divsChild>
                                <w:div w:id="1822770403">
                                  <w:marLeft w:val="0"/>
                                  <w:marRight w:val="0"/>
                                  <w:marTop w:val="0"/>
                                  <w:marBottom w:val="0"/>
                                  <w:divBdr>
                                    <w:top w:val="none" w:sz="0" w:space="0" w:color="auto"/>
                                    <w:left w:val="none" w:sz="0" w:space="0" w:color="auto"/>
                                    <w:bottom w:val="none" w:sz="0" w:space="0" w:color="auto"/>
                                    <w:right w:val="none" w:sz="0" w:space="0" w:color="auto"/>
                                  </w:divBdr>
                                  <w:divsChild>
                                    <w:div w:id="862745521">
                                      <w:marLeft w:val="0"/>
                                      <w:marRight w:val="0"/>
                                      <w:marTop w:val="0"/>
                                      <w:marBottom w:val="0"/>
                                      <w:divBdr>
                                        <w:top w:val="none" w:sz="0" w:space="0" w:color="auto"/>
                                        <w:left w:val="none" w:sz="0" w:space="0" w:color="auto"/>
                                        <w:bottom w:val="none" w:sz="0" w:space="0" w:color="auto"/>
                                        <w:right w:val="none" w:sz="0" w:space="0" w:color="auto"/>
                                      </w:divBdr>
                                      <w:divsChild>
                                        <w:div w:id="1628663226">
                                          <w:marLeft w:val="0"/>
                                          <w:marRight w:val="0"/>
                                          <w:marTop w:val="0"/>
                                          <w:marBottom w:val="0"/>
                                          <w:divBdr>
                                            <w:top w:val="none" w:sz="0" w:space="0" w:color="auto"/>
                                            <w:left w:val="none" w:sz="0" w:space="0" w:color="auto"/>
                                            <w:bottom w:val="none" w:sz="0" w:space="0" w:color="auto"/>
                                            <w:right w:val="none" w:sz="0" w:space="0" w:color="auto"/>
                                          </w:divBdr>
                                          <w:divsChild>
                                            <w:div w:id="637028600">
                                              <w:marLeft w:val="0"/>
                                              <w:marRight w:val="0"/>
                                              <w:marTop w:val="100"/>
                                              <w:marBottom w:val="30"/>
                                              <w:divBdr>
                                                <w:top w:val="single" w:sz="6" w:space="0" w:color="CCCCCC"/>
                                                <w:left w:val="single" w:sz="6" w:space="0" w:color="CCCCCC"/>
                                                <w:bottom w:val="single" w:sz="6" w:space="0" w:color="CCCCCC"/>
                                                <w:right w:val="single" w:sz="6" w:space="0" w:color="CCCCCC"/>
                                              </w:divBdr>
                                              <w:divsChild>
                                                <w:div w:id="478159388">
                                                  <w:marLeft w:val="0"/>
                                                  <w:marRight w:val="0"/>
                                                  <w:marTop w:val="0"/>
                                                  <w:marBottom w:val="0"/>
                                                  <w:divBdr>
                                                    <w:top w:val="none" w:sz="0" w:space="0" w:color="auto"/>
                                                    <w:left w:val="none" w:sz="0" w:space="0" w:color="auto"/>
                                                    <w:bottom w:val="none" w:sz="0" w:space="0" w:color="auto"/>
                                                    <w:right w:val="none" w:sz="0" w:space="0" w:color="auto"/>
                                                  </w:divBdr>
                                                  <w:divsChild>
                                                    <w:div w:id="90899622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91436017">
      <w:bodyDiv w:val="1"/>
      <w:marLeft w:val="0"/>
      <w:marRight w:val="0"/>
      <w:marTop w:val="0"/>
      <w:marBottom w:val="0"/>
      <w:divBdr>
        <w:top w:val="none" w:sz="0" w:space="0" w:color="auto"/>
        <w:left w:val="none" w:sz="0" w:space="0" w:color="auto"/>
        <w:bottom w:val="none" w:sz="0" w:space="0" w:color="auto"/>
        <w:right w:val="none" w:sz="0" w:space="0" w:color="auto"/>
      </w:divBdr>
      <w:divsChild>
        <w:div w:id="1166558122">
          <w:marLeft w:val="0"/>
          <w:marRight w:val="0"/>
          <w:marTop w:val="0"/>
          <w:marBottom w:val="0"/>
          <w:divBdr>
            <w:top w:val="none" w:sz="0" w:space="0" w:color="auto"/>
            <w:left w:val="none" w:sz="0" w:space="0" w:color="auto"/>
            <w:bottom w:val="none" w:sz="0" w:space="0" w:color="auto"/>
            <w:right w:val="none" w:sz="0" w:space="0" w:color="auto"/>
          </w:divBdr>
          <w:divsChild>
            <w:div w:id="861094728">
              <w:marLeft w:val="0"/>
              <w:marRight w:val="0"/>
              <w:marTop w:val="0"/>
              <w:marBottom w:val="0"/>
              <w:divBdr>
                <w:top w:val="none" w:sz="0" w:space="0" w:color="auto"/>
                <w:left w:val="none" w:sz="0" w:space="0" w:color="auto"/>
                <w:bottom w:val="none" w:sz="0" w:space="0" w:color="auto"/>
                <w:right w:val="none" w:sz="0" w:space="0" w:color="auto"/>
              </w:divBdr>
              <w:divsChild>
                <w:div w:id="2094861878">
                  <w:marLeft w:val="0"/>
                  <w:marRight w:val="0"/>
                  <w:marTop w:val="0"/>
                  <w:marBottom w:val="0"/>
                  <w:divBdr>
                    <w:top w:val="none" w:sz="0" w:space="0" w:color="auto"/>
                    <w:left w:val="none" w:sz="0" w:space="0" w:color="auto"/>
                    <w:bottom w:val="none" w:sz="0" w:space="0" w:color="auto"/>
                    <w:right w:val="none" w:sz="0" w:space="0" w:color="auto"/>
                  </w:divBdr>
                  <w:divsChild>
                    <w:div w:id="1847860232">
                      <w:marLeft w:val="0"/>
                      <w:marRight w:val="0"/>
                      <w:marTop w:val="0"/>
                      <w:marBottom w:val="0"/>
                      <w:divBdr>
                        <w:top w:val="none" w:sz="0" w:space="0" w:color="auto"/>
                        <w:left w:val="none" w:sz="0" w:space="0" w:color="auto"/>
                        <w:bottom w:val="none" w:sz="0" w:space="0" w:color="auto"/>
                        <w:right w:val="none" w:sz="0" w:space="0" w:color="auto"/>
                      </w:divBdr>
                      <w:divsChild>
                        <w:div w:id="760833624">
                          <w:marLeft w:val="0"/>
                          <w:marRight w:val="0"/>
                          <w:marTop w:val="0"/>
                          <w:marBottom w:val="0"/>
                          <w:divBdr>
                            <w:top w:val="none" w:sz="0" w:space="0" w:color="auto"/>
                            <w:left w:val="none" w:sz="0" w:space="0" w:color="auto"/>
                            <w:bottom w:val="none" w:sz="0" w:space="0" w:color="auto"/>
                            <w:right w:val="none" w:sz="0" w:space="0" w:color="auto"/>
                          </w:divBdr>
                          <w:divsChild>
                            <w:div w:id="1739934640">
                              <w:marLeft w:val="0"/>
                              <w:marRight w:val="0"/>
                              <w:marTop w:val="0"/>
                              <w:marBottom w:val="0"/>
                              <w:divBdr>
                                <w:top w:val="none" w:sz="0" w:space="0" w:color="auto"/>
                                <w:left w:val="none" w:sz="0" w:space="0" w:color="auto"/>
                                <w:bottom w:val="none" w:sz="0" w:space="0" w:color="auto"/>
                                <w:right w:val="none" w:sz="0" w:space="0" w:color="auto"/>
                              </w:divBdr>
                              <w:divsChild>
                                <w:div w:id="1628974453">
                                  <w:marLeft w:val="0"/>
                                  <w:marRight w:val="0"/>
                                  <w:marTop w:val="0"/>
                                  <w:marBottom w:val="0"/>
                                  <w:divBdr>
                                    <w:top w:val="none" w:sz="0" w:space="0" w:color="auto"/>
                                    <w:left w:val="none" w:sz="0" w:space="0" w:color="auto"/>
                                    <w:bottom w:val="none" w:sz="0" w:space="0" w:color="auto"/>
                                    <w:right w:val="none" w:sz="0" w:space="0" w:color="auto"/>
                                  </w:divBdr>
                                  <w:divsChild>
                                    <w:div w:id="65309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ibme.org/websi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bme.org/journal" TargetMode="External"/><Relationship Id="rId5" Type="http://schemas.openxmlformats.org/officeDocument/2006/relationships/hyperlink" Target="http://www.bibme.org/journa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2656</Words>
  <Characters>15145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University of San Francisco</Company>
  <LinksUpToDate>false</LinksUpToDate>
  <CharactersWithSpaces>17766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Loaner</dc:creator>
  <cp:lastModifiedBy>arat kilo</cp:lastModifiedBy>
  <cp:revision>2</cp:revision>
  <dcterms:created xsi:type="dcterms:W3CDTF">2018-03-12T21:52:00Z</dcterms:created>
  <dcterms:modified xsi:type="dcterms:W3CDTF">2018-03-12T21:52:00Z</dcterms:modified>
</cp:coreProperties>
</file>